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01FE1C1" w14:textId="77777777" w:rsidR="00C928E4" w:rsidRDefault="00C2041E">
      <w:pPr>
        <w:jc w:val="center"/>
        <w:rPr>
          <w:rFonts w:ascii="Times New Roman" w:eastAsia="Times New Roman" w:hAnsi="Times New Roman" w:cs="Times New Roman"/>
        </w:rPr>
      </w:pPr>
      <w:bookmarkStart w:id="0" w:name="_GoBack"/>
      <w:bookmarkEnd w:id="0"/>
      <w:r>
        <w:rPr>
          <w:rFonts w:ascii="Times New Roman" w:eastAsia="Times New Roman" w:hAnsi="Times New Roman" w:cs="Times New Roman"/>
          <w:b/>
        </w:rPr>
        <w:t xml:space="preserve">  MEMORANDO</w:t>
      </w:r>
    </w:p>
    <w:p w14:paraId="022462BD" w14:textId="77777777" w:rsidR="00C928E4" w:rsidRDefault="00C2041E">
      <w:pPr>
        <w:jc w:val="center"/>
        <w:rPr>
          <w:rFonts w:ascii="Times New Roman" w:eastAsia="Times New Roman" w:hAnsi="Times New Roman" w:cs="Times New Roman"/>
        </w:rPr>
      </w:pPr>
      <w:r>
        <w:rPr>
          <w:rFonts w:ascii="Times New Roman" w:eastAsia="Times New Roman" w:hAnsi="Times New Roman" w:cs="Times New Roman"/>
        </w:rPr>
        <w:t> </w:t>
      </w:r>
      <w:r>
        <w:rPr>
          <w:rFonts w:ascii="Times New Roman" w:eastAsia="Times New Roman" w:hAnsi="Times New Roman" w:cs="Times New Roman"/>
        </w:rPr>
        <w:tab/>
      </w:r>
      <w:r>
        <w:rPr>
          <w:rFonts w:ascii="Times New Roman" w:eastAsia="Times New Roman" w:hAnsi="Times New Roman" w:cs="Times New Roman"/>
        </w:rPr>
        <w:tab/>
      </w:r>
    </w:p>
    <w:p w14:paraId="48EC93EC" w14:textId="77777777" w:rsidR="00C928E4" w:rsidRDefault="00C2041E">
      <w:pPr>
        <w:jc w:val="center"/>
        <w:rPr>
          <w:rFonts w:ascii="Times New Roman" w:eastAsia="Times New Roman" w:hAnsi="Times New Roman" w:cs="Times New Roman"/>
        </w:rPr>
      </w:pPr>
      <w:r>
        <w:rPr>
          <w:rFonts w:ascii="Times New Roman" w:eastAsia="Times New Roman" w:hAnsi="Times New Roman" w:cs="Times New Roman"/>
        </w:rPr>
        <w:t> </w:t>
      </w:r>
    </w:p>
    <w:p w14:paraId="36F3A578" w14:textId="77777777" w:rsidR="00C928E4" w:rsidRDefault="00C928E4">
      <w:pPr>
        <w:jc w:val="center"/>
        <w:rPr>
          <w:rFonts w:ascii="Times New Roman" w:eastAsia="Times New Roman" w:hAnsi="Times New Roman" w:cs="Times New Roman"/>
        </w:rPr>
      </w:pPr>
    </w:p>
    <w:p w14:paraId="3C1FCA2E" w14:textId="77777777" w:rsidR="00C928E4" w:rsidRDefault="00C2041E">
      <w:pPr>
        <w:rPr>
          <w:rFonts w:ascii="Times New Roman" w:eastAsia="Times New Roman" w:hAnsi="Times New Roman" w:cs="Times New Roman"/>
        </w:rPr>
      </w:pPr>
      <w:r>
        <w:rPr>
          <w:rFonts w:ascii="Times New Roman" w:eastAsia="Times New Roman" w:hAnsi="Times New Roman" w:cs="Times New Roman"/>
          <w:b/>
        </w:rPr>
        <w:t>PARA</w:t>
      </w:r>
      <w:r>
        <w:rPr>
          <w:rFonts w:ascii="Times New Roman" w:eastAsia="Times New Roman" w:hAnsi="Times New Roman" w:cs="Times New Roman"/>
        </w:rPr>
        <w:t xml:space="preserve">:        </w:t>
      </w:r>
      <w:r>
        <w:rPr>
          <w:rFonts w:ascii="Times New Roman" w:eastAsia="Times New Roman" w:hAnsi="Times New Roman" w:cs="Times New Roman"/>
        </w:rPr>
        <w:tab/>
        <w:t xml:space="preserve"> LUZ ANGÉLICA VIZCAINO   </w:t>
      </w:r>
    </w:p>
    <w:p w14:paraId="2A9C1B88" w14:textId="77777777" w:rsidR="00C928E4" w:rsidRDefault="00C2041E">
      <w:pPr>
        <w:rPr>
          <w:rFonts w:ascii="Times New Roman" w:eastAsia="Times New Roman" w:hAnsi="Times New Roman" w:cs="Times New Roman"/>
        </w:rPr>
      </w:pPr>
      <w:r>
        <w:rPr>
          <w:rFonts w:ascii="Times New Roman" w:eastAsia="Times New Roman" w:hAnsi="Times New Roman" w:cs="Times New Roman"/>
        </w:rPr>
        <w:t>                         </w:t>
      </w:r>
      <w:r>
        <w:rPr>
          <w:rFonts w:ascii="Times New Roman" w:eastAsia="Times New Roman" w:hAnsi="Times New Roman" w:cs="Times New Roman"/>
          <w:b/>
        </w:rPr>
        <w:t>Secretaria General </w:t>
      </w:r>
      <w:r>
        <w:rPr>
          <w:rFonts w:ascii="Times New Roman" w:eastAsia="Times New Roman" w:hAnsi="Times New Roman" w:cs="Times New Roman"/>
        </w:rPr>
        <w:t xml:space="preserve"> </w:t>
      </w:r>
      <w:r>
        <w:rPr>
          <w:rFonts w:ascii="Times New Roman" w:eastAsia="Times New Roman" w:hAnsi="Times New Roman" w:cs="Times New Roman"/>
        </w:rPr>
        <w:tab/>
      </w:r>
    </w:p>
    <w:p w14:paraId="41D8FB8F" w14:textId="77777777" w:rsidR="00C928E4" w:rsidRDefault="00C2041E">
      <w:pPr>
        <w:jc w:val="center"/>
        <w:rPr>
          <w:rFonts w:ascii="Times New Roman" w:eastAsia="Times New Roman" w:hAnsi="Times New Roman" w:cs="Times New Roman"/>
        </w:rPr>
      </w:pPr>
      <w:r>
        <w:rPr>
          <w:rFonts w:ascii="Times New Roman" w:eastAsia="Times New Roman" w:hAnsi="Times New Roman" w:cs="Times New Roman"/>
        </w:rPr>
        <w:t>                 </w:t>
      </w:r>
      <w:r>
        <w:rPr>
          <w:rFonts w:ascii="Times New Roman" w:eastAsia="Times New Roman" w:hAnsi="Times New Roman" w:cs="Times New Roman"/>
        </w:rPr>
        <w:tab/>
        <w:t>   </w:t>
      </w:r>
    </w:p>
    <w:p w14:paraId="3C377DE8" w14:textId="77777777" w:rsidR="00C928E4" w:rsidRDefault="00C2041E">
      <w:pPr>
        <w:jc w:val="center"/>
        <w:rPr>
          <w:rFonts w:ascii="Times New Roman" w:eastAsia="Times New Roman" w:hAnsi="Times New Roman" w:cs="Times New Roman"/>
        </w:rPr>
      </w:pPr>
      <w:r>
        <w:rPr>
          <w:rFonts w:ascii="Times New Roman" w:eastAsia="Times New Roman" w:hAnsi="Times New Roman" w:cs="Times New Roman"/>
        </w:rPr>
        <w:t> </w:t>
      </w:r>
    </w:p>
    <w:p w14:paraId="37E608C5" w14:textId="77777777" w:rsidR="00C928E4" w:rsidRDefault="00C2041E">
      <w:pPr>
        <w:rPr>
          <w:rFonts w:ascii="Times New Roman" w:eastAsia="Times New Roman" w:hAnsi="Times New Roman" w:cs="Times New Roman"/>
        </w:rPr>
      </w:pPr>
      <w:r>
        <w:rPr>
          <w:rFonts w:ascii="Times New Roman" w:eastAsia="Times New Roman" w:hAnsi="Times New Roman" w:cs="Times New Roman"/>
          <w:b/>
        </w:rPr>
        <w:t>DE</w:t>
      </w:r>
      <w:r>
        <w:rPr>
          <w:rFonts w:ascii="Times New Roman" w:eastAsia="Times New Roman" w:hAnsi="Times New Roman" w:cs="Times New Roman"/>
        </w:rPr>
        <w:t xml:space="preserve">:             </w:t>
      </w:r>
      <w:r>
        <w:rPr>
          <w:rFonts w:ascii="Times New Roman" w:eastAsia="Times New Roman" w:hAnsi="Times New Roman" w:cs="Times New Roman"/>
        </w:rPr>
        <w:tab/>
        <w:t>H.C. Julián Uscátegui Pastrana</w:t>
      </w:r>
    </w:p>
    <w:p w14:paraId="0EEB3F17" w14:textId="77777777" w:rsidR="00C928E4" w:rsidRDefault="00C2041E">
      <w:pPr>
        <w:jc w:val="center"/>
        <w:rPr>
          <w:rFonts w:ascii="Times New Roman" w:eastAsia="Times New Roman" w:hAnsi="Times New Roman" w:cs="Times New Roman"/>
        </w:rPr>
      </w:pPr>
      <w:r>
        <w:rPr>
          <w:rFonts w:ascii="Times New Roman" w:eastAsia="Times New Roman" w:hAnsi="Times New Roman" w:cs="Times New Roman"/>
        </w:rPr>
        <w:t> </w:t>
      </w:r>
    </w:p>
    <w:p w14:paraId="71E020CE" w14:textId="77777777" w:rsidR="00C928E4" w:rsidRDefault="00C2041E">
      <w:pPr>
        <w:rPr>
          <w:rFonts w:ascii="Times New Roman" w:eastAsia="Times New Roman" w:hAnsi="Times New Roman" w:cs="Times New Roman"/>
        </w:rPr>
      </w:pPr>
      <w:r>
        <w:rPr>
          <w:rFonts w:ascii="Times New Roman" w:eastAsia="Times New Roman" w:hAnsi="Times New Roman" w:cs="Times New Roman"/>
          <w:b/>
        </w:rPr>
        <w:t>ASUNTO:</w:t>
      </w:r>
      <w:r>
        <w:rPr>
          <w:rFonts w:ascii="Times New Roman" w:eastAsia="Times New Roman" w:hAnsi="Times New Roman" w:cs="Times New Roman"/>
        </w:rPr>
        <w:t xml:space="preserve">  </w:t>
      </w:r>
      <w:r>
        <w:rPr>
          <w:rFonts w:ascii="Times New Roman" w:eastAsia="Times New Roman" w:hAnsi="Times New Roman" w:cs="Times New Roman"/>
        </w:rPr>
        <w:tab/>
        <w:t>Presentación Proyecto de Acuerdo No. ____________de 2025.</w:t>
      </w:r>
    </w:p>
    <w:p w14:paraId="3E577BAB" w14:textId="77777777" w:rsidR="00C928E4" w:rsidRDefault="00C928E4">
      <w:pPr>
        <w:rPr>
          <w:rFonts w:ascii="Times New Roman" w:eastAsia="Times New Roman" w:hAnsi="Times New Roman" w:cs="Times New Roman"/>
        </w:rPr>
      </w:pPr>
    </w:p>
    <w:p w14:paraId="3D301A46" w14:textId="77777777" w:rsidR="00C928E4" w:rsidRDefault="00C2041E">
      <w:pPr>
        <w:ind w:left="1420" w:hanging="1420"/>
        <w:jc w:val="center"/>
        <w:rPr>
          <w:rFonts w:ascii="Times New Roman" w:eastAsia="Times New Roman" w:hAnsi="Times New Roman" w:cs="Times New Roman"/>
        </w:rPr>
      </w:pPr>
      <w:r>
        <w:rPr>
          <w:rFonts w:ascii="Times New Roman" w:eastAsia="Times New Roman" w:hAnsi="Times New Roman" w:cs="Times New Roman"/>
        </w:rPr>
        <w:t> </w:t>
      </w:r>
    </w:p>
    <w:p w14:paraId="796CD062"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rPr>
        <w:t>Apreciada Dra. Vízcaino,</w:t>
      </w:r>
    </w:p>
    <w:p w14:paraId="5E834173"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rPr>
        <w:t> </w:t>
      </w:r>
    </w:p>
    <w:p w14:paraId="6C72D0BC"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rPr>
        <w:t xml:space="preserve">Reciba un cordial saludo. De conformidad con lo señalado en el Artículo 67 del Acuerdo Distrital No. 741 de 2019, de manera atenta, me permito radicar en medio magnético e impreso, ante su despacho el Proyecto de Acuerdo </w:t>
      </w:r>
      <w:r>
        <w:rPr>
          <w:rFonts w:ascii="Times New Roman" w:eastAsia="Times New Roman" w:hAnsi="Times New Roman" w:cs="Times New Roman"/>
          <w:i/>
        </w:rPr>
        <w:t xml:space="preserve">"POR MEDIO DEL CUAL SE IMPLEMENTA EL PROGRAMA “ESCALERA DE LA FORMALIDAD” PARA EL FORTALECIMIENTO Y FORMALIZACIÓN DE LAS MICRO, PEQUEÑAS Y MEDIANAS EMPRESAS (MIPYMES) EN EL DISTRITO CAPITAL Y  SE DICTAN OTRAS DISPOSICIONES.”  </w:t>
      </w:r>
    </w:p>
    <w:p w14:paraId="0BBEB516"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rPr>
        <w:t> </w:t>
      </w:r>
    </w:p>
    <w:p w14:paraId="2E35B8FA"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rPr>
        <w:t>Agradezco su amable gestión.</w:t>
      </w:r>
    </w:p>
    <w:p w14:paraId="5E061A32"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rPr>
        <w:t> </w:t>
      </w:r>
    </w:p>
    <w:p w14:paraId="2B27E607" w14:textId="77777777" w:rsidR="00C928E4" w:rsidRDefault="00C928E4">
      <w:pPr>
        <w:jc w:val="both"/>
        <w:rPr>
          <w:rFonts w:ascii="Times New Roman" w:eastAsia="Times New Roman" w:hAnsi="Times New Roman" w:cs="Times New Roman"/>
        </w:rPr>
      </w:pPr>
    </w:p>
    <w:p w14:paraId="34B069AB"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rPr>
        <w:t>Cordialmente,</w:t>
      </w:r>
    </w:p>
    <w:p w14:paraId="6ED297C4" w14:textId="77777777" w:rsidR="00C928E4" w:rsidRDefault="00C2041E">
      <w:pPr>
        <w:spacing w:after="240"/>
        <w:rPr>
          <w:rFonts w:ascii="Times New Roman" w:eastAsia="Times New Roman" w:hAnsi="Times New Roman" w:cs="Times New Roman"/>
        </w:rPr>
      </w:pPr>
      <w:r>
        <w:rPr>
          <w:rFonts w:ascii="Times New Roman" w:eastAsia="Times New Roman" w:hAnsi="Times New Roman" w:cs="Times New Roman"/>
        </w:rPr>
        <w:br/>
      </w:r>
      <w:r>
        <w:rPr>
          <w:rFonts w:ascii="Times New Roman" w:eastAsia="Times New Roman" w:hAnsi="Times New Roman" w:cs="Times New Roman"/>
        </w:rPr>
        <w:br/>
      </w:r>
    </w:p>
    <w:p w14:paraId="20152175" w14:textId="77777777" w:rsidR="00C928E4" w:rsidRDefault="00C2041E">
      <w:pPr>
        <w:jc w:val="both"/>
        <w:rPr>
          <w:rFonts w:ascii="Times New Roman" w:eastAsia="Times New Roman" w:hAnsi="Times New Roman" w:cs="Times New Roman"/>
          <w:b/>
        </w:rPr>
      </w:pPr>
      <w:r>
        <w:rPr>
          <w:rFonts w:ascii="Times New Roman" w:eastAsia="Times New Roman" w:hAnsi="Times New Roman" w:cs="Times New Roman"/>
          <w:b/>
        </w:rPr>
        <w:t>JULIÁN USCÁTEGUI PASTRANA</w:t>
      </w:r>
    </w:p>
    <w:p w14:paraId="65B144AB"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rPr>
        <w:t>Concejal de Bogotá, D.C.</w:t>
      </w:r>
    </w:p>
    <w:p w14:paraId="5CA432AE"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rPr>
        <w:t>Partido Centro Democrático</w:t>
      </w:r>
    </w:p>
    <w:p w14:paraId="22391FE5" w14:textId="77777777" w:rsidR="00C928E4" w:rsidRDefault="00C928E4">
      <w:pPr>
        <w:ind w:left="1400" w:hanging="700"/>
        <w:jc w:val="center"/>
        <w:rPr>
          <w:rFonts w:ascii="Times New Roman" w:eastAsia="Times New Roman" w:hAnsi="Times New Roman" w:cs="Times New Roman"/>
          <w:b/>
        </w:rPr>
      </w:pPr>
    </w:p>
    <w:p w14:paraId="04895023" w14:textId="77777777" w:rsidR="00C928E4" w:rsidRDefault="00C928E4">
      <w:pPr>
        <w:ind w:left="1400" w:hanging="700"/>
        <w:jc w:val="center"/>
        <w:rPr>
          <w:rFonts w:ascii="Times New Roman" w:eastAsia="Times New Roman" w:hAnsi="Times New Roman" w:cs="Times New Roman"/>
          <w:b/>
        </w:rPr>
      </w:pPr>
    </w:p>
    <w:p w14:paraId="22D40E2E" w14:textId="77777777" w:rsidR="00C928E4" w:rsidRDefault="00C928E4">
      <w:pPr>
        <w:ind w:left="1400" w:hanging="700"/>
        <w:jc w:val="center"/>
        <w:rPr>
          <w:rFonts w:ascii="Times New Roman" w:eastAsia="Times New Roman" w:hAnsi="Times New Roman" w:cs="Times New Roman"/>
          <w:b/>
        </w:rPr>
      </w:pPr>
    </w:p>
    <w:p w14:paraId="3C30CEC8" w14:textId="77777777" w:rsidR="00C928E4" w:rsidRDefault="00C928E4">
      <w:pPr>
        <w:rPr>
          <w:rFonts w:ascii="Times New Roman" w:eastAsia="Times New Roman" w:hAnsi="Times New Roman" w:cs="Times New Roman"/>
          <w:b/>
        </w:rPr>
      </w:pPr>
    </w:p>
    <w:p w14:paraId="3779A0DA" w14:textId="77777777" w:rsidR="00C928E4" w:rsidRDefault="00C928E4">
      <w:pPr>
        <w:rPr>
          <w:rFonts w:ascii="Times New Roman" w:eastAsia="Times New Roman" w:hAnsi="Times New Roman" w:cs="Times New Roman"/>
          <w:b/>
        </w:rPr>
      </w:pPr>
    </w:p>
    <w:p w14:paraId="501CAF00" w14:textId="77777777" w:rsidR="00C928E4" w:rsidRDefault="00C928E4">
      <w:pPr>
        <w:rPr>
          <w:rFonts w:ascii="Times New Roman" w:eastAsia="Times New Roman" w:hAnsi="Times New Roman" w:cs="Times New Roman"/>
          <w:b/>
        </w:rPr>
      </w:pPr>
    </w:p>
    <w:p w14:paraId="7D534DEF" w14:textId="77777777" w:rsidR="00C928E4" w:rsidRDefault="00C928E4">
      <w:pPr>
        <w:rPr>
          <w:rFonts w:ascii="Times New Roman" w:eastAsia="Times New Roman" w:hAnsi="Times New Roman" w:cs="Times New Roman"/>
          <w:b/>
        </w:rPr>
      </w:pPr>
    </w:p>
    <w:p w14:paraId="7FE1D09E" w14:textId="77777777" w:rsidR="00C928E4" w:rsidRDefault="00C928E4">
      <w:pPr>
        <w:ind w:left="1400" w:hanging="700"/>
        <w:jc w:val="center"/>
        <w:rPr>
          <w:rFonts w:ascii="Times New Roman" w:eastAsia="Times New Roman" w:hAnsi="Times New Roman" w:cs="Times New Roman"/>
          <w:b/>
        </w:rPr>
      </w:pPr>
    </w:p>
    <w:p w14:paraId="150D34E9" w14:textId="26807CB7" w:rsidR="00C928E4" w:rsidRDefault="00C2041E">
      <w:pPr>
        <w:ind w:left="1400" w:hanging="700"/>
        <w:jc w:val="center"/>
        <w:rPr>
          <w:rFonts w:ascii="Times New Roman" w:eastAsia="Times New Roman" w:hAnsi="Times New Roman" w:cs="Times New Roman"/>
          <w:b/>
        </w:rPr>
      </w:pPr>
      <w:r>
        <w:rPr>
          <w:rFonts w:ascii="Times New Roman" w:eastAsia="Times New Roman" w:hAnsi="Times New Roman" w:cs="Times New Roman"/>
          <w:b/>
        </w:rPr>
        <w:t>PROYECTO DE ACUERDO No.</w:t>
      </w:r>
      <w:r w:rsidR="00F70104">
        <w:rPr>
          <w:rFonts w:ascii="Times New Roman" w:eastAsia="Times New Roman" w:hAnsi="Times New Roman" w:cs="Times New Roman"/>
          <w:b/>
        </w:rPr>
        <w:t xml:space="preserve"> 6</w:t>
      </w:r>
      <w:r w:rsidR="00966F36">
        <w:rPr>
          <w:rFonts w:ascii="Times New Roman" w:eastAsia="Times New Roman" w:hAnsi="Times New Roman" w:cs="Times New Roman"/>
          <w:b/>
        </w:rPr>
        <w:t>2</w:t>
      </w:r>
      <w:r w:rsidR="00F70104">
        <w:rPr>
          <w:rFonts w:ascii="Times New Roman" w:eastAsia="Times New Roman" w:hAnsi="Times New Roman" w:cs="Times New Roman"/>
          <w:b/>
        </w:rPr>
        <w:t>0</w:t>
      </w:r>
      <w:r>
        <w:rPr>
          <w:rFonts w:ascii="Times New Roman" w:eastAsia="Times New Roman" w:hAnsi="Times New Roman" w:cs="Times New Roman"/>
          <w:b/>
        </w:rPr>
        <w:t xml:space="preserve"> DE 2025</w:t>
      </w:r>
    </w:p>
    <w:p w14:paraId="36B39DB2" w14:textId="77777777" w:rsidR="00C928E4" w:rsidRDefault="00C928E4">
      <w:pPr>
        <w:jc w:val="center"/>
        <w:rPr>
          <w:rFonts w:ascii="Times New Roman" w:eastAsia="Times New Roman" w:hAnsi="Times New Roman" w:cs="Times New Roman"/>
          <w:b/>
        </w:rPr>
      </w:pPr>
    </w:p>
    <w:p w14:paraId="23B58158" w14:textId="77777777" w:rsidR="00C928E4" w:rsidRDefault="00C2041E">
      <w:pPr>
        <w:jc w:val="center"/>
        <w:rPr>
          <w:rFonts w:ascii="Times New Roman" w:eastAsia="Times New Roman" w:hAnsi="Times New Roman" w:cs="Times New Roman"/>
          <w:b/>
        </w:rPr>
      </w:pPr>
      <w:r>
        <w:rPr>
          <w:rFonts w:ascii="Times New Roman" w:eastAsia="Times New Roman" w:hAnsi="Times New Roman" w:cs="Times New Roman"/>
          <w:b/>
        </w:rPr>
        <w:t>“POR MEDIO DEL CUAL SE IMPLEMENTA EL PROGRAMA “ESCALERA DE LA FORMALIDAD” PARA EL FORTALECIMIENTO Y FORMALIZACIÓN DE LAS MICRO, PEQUEÑAS Y MEDIANAS EMPRESAS (MIPYMES) EN EL DISTRITO CAPITAL Y  SE DICTAN OTRAS DISPOSICIONES.”</w:t>
      </w:r>
    </w:p>
    <w:p w14:paraId="052FD1FB" w14:textId="77777777" w:rsidR="00C928E4" w:rsidRDefault="00C928E4">
      <w:pPr>
        <w:jc w:val="center"/>
        <w:rPr>
          <w:rFonts w:ascii="Times New Roman" w:eastAsia="Times New Roman" w:hAnsi="Times New Roman" w:cs="Times New Roman"/>
          <w:b/>
        </w:rPr>
      </w:pPr>
    </w:p>
    <w:p w14:paraId="169748D4" w14:textId="77777777" w:rsidR="00C928E4" w:rsidRDefault="00C2041E">
      <w:pPr>
        <w:jc w:val="center"/>
        <w:rPr>
          <w:rFonts w:ascii="Times New Roman" w:eastAsia="Times New Roman" w:hAnsi="Times New Roman" w:cs="Times New Roman"/>
          <w:b/>
        </w:rPr>
      </w:pPr>
      <w:r>
        <w:rPr>
          <w:rFonts w:ascii="Times New Roman" w:eastAsia="Times New Roman" w:hAnsi="Times New Roman" w:cs="Times New Roman"/>
          <w:b/>
        </w:rPr>
        <w:t>EXPOSICIÓN DE MOTIVOS</w:t>
      </w:r>
    </w:p>
    <w:p w14:paraId="44D19ACC" w14:textId="77777777" w:rsidR="00C928E4" w:rsidRDefault="00C2041E">
      <w:pPr>
        <w:jc w:val="both"/>
        <w:rPr>
          <w:rFonts w:ascii="Times New Roman" w:eastAsia="Times New Roman" w:hAnsi="Times New Roman" w:cs="Times New Roman"/>
          <w:b/>
        </w:rPr>
      </w:pPr>
      <w:r>
        <w:rPr>
          <w:rFonts w:ascii="Times New Roman" w:eastAsia="Times New Roman" w:hAnsi="Times New Roman" w:cs="Times New Roman"/>
          <w:b/>
        </w:rPr>
        <w:t xml:space="preserve"> </w:t>
      </w:r>
    </w:p>
    <w:p w14:paraId="382C5D46" w14:textId="77777777" w:rsidR="00C928E4" w:rsidRDefault="00C2041E">
      <w:pPr>
        <w:numPr>
          <w:ilvl w:val="0"/>
          <w:numId w:val="7"/>
        </w:numPr>
        <w:pBdr>
          <w:top w:val="nil"/>
          <w:left w:val="nil"/>
          <w:bottom w:val="nil"/>
          <w:right w:val="nil"/>
          <w:between w:val="nil"/>
        </w:pBdr>
        <w:jc w:val="both"/>
        <w:rPr>
          <w:rFonts w:ascii="Times New Roman" w:eastAsia="Times New Roman" w:hAnsi="Times New Roman" w:cs="Times New Roman"/>
        </w:rPr>
      </w:pPr>
      <w:r>
        <w:rPr>
          <w:rFonts w:ascii="Times New Roman" w:eastAsia="Times New Roman" w:hAnsi="Times New Roman" w:cs="Times New Roman"/>
          <w:b/>
        </w:rPr>
        <w:t>OBJETO DEL PROYECTO DE ACUERDO</w:t>
      </w:r>
    </w:p>
    <w:p w14:paraId="1903261E" w14:textId="77777777" w:rsidR="00C928E4" w:rsidRDefault="00C928E4">
      <w:pPr>
        <w:ind w:left="360"/>
        <w:jc w:val="both"/>
        <w:rPr>
          <w:rFonts w:ascii="Times New Roman" w:eastAsia="Times New Roman" w:hAnsi="Times New Roman" w:cs="Times New Roman"/>
        </w:rPr>
      </w:pPr>
    </w:p>
    <w:p w14:paraId="28D9FEA7"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rPr>
        <w:t>El presente proyecto de acuerdo tiene como objetivo implementar el programa “Escalera de la Formalidad” en el Distrito Capital, con el propósito de establecer una ruta progresiva que impulse y fortalezca la formalización de micro, pequeñas y medianas empresas en la ciudad.</w:t>
      </w:r>
    </w:p>
    <w:p w14:paraId="4E0B1785" w14:textId="77777777" w:rsidR="00C928E4" w:rsidRDefault="00C928E4">
      <w:pPr>
        <w:jc w:val="both"/>
        <w:rPr>
          <w:rFonts w:ascii="Times New Roman" w:eastAsia="Times New Roman" w:hAnsi="Times New Roman" w:cs="Times New Roman"/>
        </w:rPr>
      </w:pPr>
    </w:p>
    <w:p w14:paraId="1A9234C4" w14:textId="77777777" w:rsidR="00C928E4" w:rsidRDefault="00C2041E">
      <w:pPr>
        <w:numPr>
          <w:ilvl w:val="0"/>
          <w:numId w:val="7"/>
        </w:numPr>
        <w:pBdr>
          <w:top w:val="nil"/>
          <w:left w:val="nil"/>
          <w:bottom w:val="nil"/>
          <w:right w:val="nil"/>
          <w:between w:val="nil"/>
        </w:pBdr>
        <w:jc w:val="both"/>
        <w:rPr>
          <w:rFonts w:ascii="Times New Roman" w:eastAsia="Times New Roman" w:hAnsi="Times New Roman" w:cs="Times New Roman"/>
        </w:rPr>
      </w:pPr>
      <w:r>
        <w:rPr>
          <w:rFonts w:ascii="Times New Roman" w:eastAsia="Times New Roman" w:hAnsi="Times New Roman" w:cs="Times New Roman"/>
          <w:b/>
        </w:rPr>
        <w:t>SUSTENTO JURÍDICO DE LA INICIATIVA</w:t>
      </w:r>
    </w:p>
    <w:p w14:paraId="75FF08CF" w14:textId="77777777" w:rsidR="00C928E4" w:rsidRDefault="00C928E4">
      <w:pPr>
        <w:pBdr>
          <w:top w:val="nil"/>
          <w:left w:val="nil"/>
          <w:bottom w:val="nil"/>
          <w:right w:val="nil"/>
          <w:between w:val="nil"/>
        </w:pBdr>
        <w:ind w:left="1080"/>
        <w:jc w:val="both"/>
        <w:rPr>
          <w:rFonts w:ascii="Times New Roman" w:eastAsia="Times New Roman" w:hAnsi="Times New Roman" w:cs="Times New Roman"/>
        </w:rPr>
      </w:pPr>
    </w:p>
    <w:p w14:paraId="5401E396"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rPr>
        <w:t xml:space="preserve">El presente Proyecto de Acuerdo se encuentra fundamentado en las siguientes disposiciones legales: </w:t>
      </w:r>
    </w:p>
    <w:p w14:paraId="6784CB08" w14:textId="77777777" w:rsidR="00C928E4" w:rsidRDefault="00C928E4">
      <w:pPr>
        <w:pBdr>
          <w:top w:val="nil"/>
          <w:left w:val="nil"/>
          <w:bottom w:val="nil"/>
          <w:right w:val="nil"/>
          <w:between w:val="nil"/>
        </w:pBdr>
        <w:ind w:left="1080"/>
        <w:jc w:val="both"/>
        <w:rPr>
          <w:rFonts w:ascii="Times New Roman" w:eastAsia="Times New Roman" w:hAnsi="Times New Roman" w:cs="Times New Roman"/>
        </w:rPr>
      </w:pPr>
    </w:p>
    <w:p w14:paraId="6C6DCE11" w14:textId="77777777" w:rsidR="00C928E4" w:rsidRDefault="00C2041E">
      <w:pPr>
        <w:pBdr>
          <w:top w:val="nil"/>
          <w:left w:val="nil"/>
          <w:bottom w:val="nil"/>
          <w:right w:val="nil"/>
          <w:between w:val="nil"/>
        </w:pBdr>
        <w:ind w:left="720"/>
        <w:jc w:val="both"/>
        <w:rPr>
          <w:rFonts w:ascii="Times New Roman" w:eastAsia="Times New Roman" w:hAnsi="Times New Roman" w:cs="Times New Roman"/>
          <w:b/>
        </w:rPr>
      </w:pPr>
      <w:r>
        <w:rPr>
          <w:rFonts w:ascii="Times New Roman" w:eastAsia="Times New Roman" w:hAnsi="Times New Roman" w:cs="Times New Roman"/>
          <w:b/>
        </w:rPr>
        <w:t xml:space="preserve">Del orden Constitucional </w:t>
      </w:r>
    </w:p>
    <w:p w14:paraId="4B874C0D" w14:textId="77777777" w:rsidR="00C928E4" w:rsidRDefault="00C928E4">
      <w:pPr>
        <w:pBdr>
          <w:top w:val="nil"/>
          <w:left w:val="nil"/>
          <w:bottom w:val="nil"/>
          <w:right w:val="nil"/>
          <w:between w:val="nil"/>
        </w:pBdr>
        <w:jc w:val="both"/>
        <w:rPr>
          <w:rFonts w:ascii="Times New Roman" w:eastAsia="Times New Roman" w:hAnsi="Times New Roman" w:cs="Times New Roman"/>
          <w:b/>
        </w:rPr>
      </w:pPr>
    </w:p>
    <w:p w14:paraId="207D5B87" w14:textId="77777777" w:rsidR="00C928E4" w:rsidRDefault="00C928E4">
      <w:pPr>
        <w:pBdr>
          <w:top w:val="nil"/>
          <w:left w:val="nil"/>
          <w:bottom w:val="nil"/>
          <w:right w:val="nil"/>
          <w:between w:val="nil"/>
        </w:pBdr>
        <w:jc w:val="both"/>
        <w:rPr>
          <w:rFonts w:ascii="Times New Roman" w:eastAsia="Times New Roman" w:hAnsi="Times New Roman" w:cs="Times New Roman"/>
          <w:b/>
        </w:rPr>
      </w:pPr>
    </w:p>
    <w:p w14:paraId="042D047E" w14:textId="77777777" w:rsidR="00C928E4" w:rsidRDefault="00C2041E">
      <w:pPr>
        <w:pBdr>
          <w:top w:val="nil"/>
          <w:left w:val="nil"/>
          <w:bottom w:val="nil"/>
          <w:right w:val="nil"/>
          <w:between w:val="nil"/>
        </w:pBdr>
        <w:jc w:val="both"/>
        <w:rPr>
          <w:rFonts w:ascii="Times New Roman" w:eastAsia="Times New Roman" w:hAnsi="Times New Roman" w:cs="Times New Roman"/>
          <w:i/>
        </w:rPr>
      </w:pPr>
      <w:r>
        <w:rPr>
          <w:rFonts w:ascii="Times New Roman" w:eastAsia="Times New Roman" w:hAnsi="Times New Roman" w:cs="Times New Roman"/>
          <w:b/>
          <w:i/>
        </w:rPr>
        <w:t>ARTÍCULO 2.</w:t>
      </w:r>
      <w:r>
        <w:rPr>
          <w:rFonts w:ascii="Times New Roman" w:eastAsia="Times New Roman" w:hAnsi="Times New Roman" w:cs="Times New Roman"/>
          <w:i/>
        </w:rPr>
        <w:t xml:space="preserve"> Son fines esenciales del Estado: servir a la comunidad, promover la prosperidad general y garantizar la efectividad de los principios, derechos y deberes consagrados en la Constitución; facilitar la participación de todos en las decisiones que los afectan y en la vida económica, política, administrativa y cultural de la Nación; defender la independencia nacional, mantener la integridad territorial y asegurar la convivencia pacífica y la vigencia de un orden justo.</w:t>
      </w:r>
    </w:p>
    <w:p w14:paraId="4E11FCF6" w14:textId="77777777" w:rsidR="00C928E4" w:rsidRDefault="00C928E4">
      <w:pPr>
        <w:pBdr>
          <w:top w:val="nil"/>
          <w:left w:val="nil"/>
          <w:bottom w:val="nil"/>
          <w:right w:val="nil"/>
          <w:between w:val="nil"/>
        </w:pBdr>
        <w:jc w:val="both"/>
        <w:rPr>
          <w:rFonts w:ascii="Times New Roman" w:eastAsia="Times New Roman" w:hAnsi="Times New Roman" w:cs="Times New Roman"/>
          <w:b/>
        </w:rPr>
      </w:pPr>
    </w:p>
    <w:p w14:paraId="23224322" w14:textId="77777777" w:rsidR="00C928E4" w:rsidRDefault="00C2041E">
      <w:pPr>
        <w:pBdr>
          <w:top w:val="nil"/>
          <w:left w:val="nil"/>
          <w:bottom w:val="nil"/>
          <w:right w:val="nil"/>
          <w:between w:val="nil"/>
        </w:pBdr>
        <w:jc w:val="both"/>
        <w:rPr>
          <w:rFonts w:ascii="Times New Roman" w:eastAsia="Times New Roman" w:hAnsi="Times New Roman" w:cs="Times New Roman"/>
          <w:i/>
        </w:rPr>
      </w:pPr>
      <w:r>
        <w:rPr>
          <w:rFonts w:ascii="Times New Roman" w:eastAsia="Times New Roman" w:hAnsi="Times New Roman" w:cs="Times New Roman"/>
          <w:b/>
          <w:i/>
        </w:rPr>
        <w:t xml:space="preserve">ARTÍCULO 333. </w:t>
      </w:r>
      <w:r>
        <w:rPr>
          <w:rFonts w:ascii="Times New Roman" w:eastAsia="Times New Roman" w:hAnsi="Times New Roman" w:cs="Times New Roman"/>
          <w:i/>
        </w:rPr>
        <w:t>La actividad económica y la iniciativa privada son libres, dentro de los límites del bien común. Para su ejercicio, nadie podrá exigir permisos previos ni requisitos, sin autorización de la ley.</w:t>
      </w:r>
    </w:p>
    <w:p w14:paraId="74763A0D" w14:textId="77777777" w:rsidR="00C928E4" w:rsidRDefault="00C928E4">
      <w:pPr>
        <w:pBdr>
          <w:top w:val="nil"/>
          <w:left w:val="nil"/>
          <w:bottom w:val="nil"/>
          <w:right w:val="nil"/>
          <w:between w:val="nil"/>
        </w:pBdr>
        <w:jc w:val="both"/>
        <w:rPr>
          <w:rFonts w:ascii="Times New Roman" w:eastAsia="Times New Roman" w:hAnsi="Times New Roman" w:cs="Times New Roman"/>
          <w:i/>
        </w:rPr>
      </w:pPr>
    </w:p>
    <w:p w14:paraId="769E0898" w14:textId="77777777" w:rsidR="00C928E4" w:rsidRDefault="00C2041E">
      <w:pPr>
        <w:pBdr>
          <w:top w:val="nil"/>
          <w:left w:val="nil"/>
          <w:bottom w:val="nil"/>
          <w:right w:val="nil"/>
          <w:between w:val="nil"/>
        </w:pBdr>
        <w:jc w:val="both"/>
        <w:rPr>
          <w:rFonts w:ascii="Times New Roman" w:eastAsia="Times New Roman" w:hAnsi="Times New Roman" w:cs="Times New Roman"/>
          <w:i/>
        </w:rPr>
      </w:pPr>
      <w:r>
        <w:rPr>
          <w:rFonts w:ascii="Times New Roman" w:eastAsia="Times New Roman" w:hAnsi="Times New Roman" w:cs="Times New Roman"/>
          <w:i/>
        </w:rPr>
        <w:t>La libre competencia económica es un derecho de todos que supone responsabilidades.</w:t>
      </w:r>
    </w:p>
    <w:p w14:paraId="27BCA36F" w14:textId="77777777" w:rsidR="00C928E4" w:rsidRDefault="00C928E4">
      <w:pPr>
        <w:pBdr>
          <w:top w:val="nil"/>
          <w:left w:val="nil"/>
          <w:bottom w:val="nil"/>
          <w:right w:val="nil"/>
          <w:between w:val="nil"/>
        </w:pBdr>
        <w:jc w:val="both"/>
        <w:rPr>
          <w:rFonts w:ascii="Times New Roman" w:eastAsia="Times New Roman" w:hAnsi="Times New Roman" w:cs="Times New Roman"/>
          <w:i/>
        </w:rPr>
      </w:pPr>
    </w:p>
    <w:p w14:paraId="0AD6A8AD" w14:textId="77777777" w:rsidR="00C928E4" w:rsidRDefault="00C2041E">
      <w:pPr>
        <w:pBdr>
          <w:top w:val="nil"/>
          <w:left w:val="nil"/>
          <w:bottom w:val="nil"/>
          <w:right w:val="nil"/>
          <w:between w:val="nil"/>
        </w:pBdr>
        <w:jc w:val="both"/>
        <w:rPr>
          <w:rFonts w:ascii="Times New Roman" w:eastAsia="Times New Roman" w:hAnsi="Times New Roman" w:cs="Times New Roman"/>
          <w:i/>
        </w:rPr>
      </w:pPr>
      <w:r>
        <w:rPr>
          <w:rFonts w:ascii="Times New Roman" w:eastAsia="Times New Roman" w:hAnsi="Times New Roman" w:cs="Times New Roman"/>
          <w:i/>
        </w:rPr>
        <w:t>La empresa, como base del desarrollo, tiene una función social que implica obligaciones. El Estado fortalecerá las organizaciones solidarias y estimulará el desarrollo empresarial.</w:t>
      </w:r>
    </w:p>
    <w:p w14:paraId="6811B608" w14:textId="77777777" w:rsidR="00C928E4" w:rsidRDefault="00C928E4">
      <w:pPr>
        <w:pBdr>
          <w:top w:val="nil"/>
          <w:left w:val="nil"/>
          <w:bottom w:val="nil"/>
          <w:right w:val="nil"/>
          <w:between w:val="nil"/>
        </w:pBdr>
        <w:jc w:val="both"/>
        <w:rPr>
          <w:rFonts w:ascii="Times New Roman" w:eastAsia="Times New Roman" w:hAnsi="Times New Roman" w:cs="Times New Roman"/>
          <w:i/>
        </w:rPr>
      </w:pPr>
    </w:p>
    <w:p w14:paraId="0A815229" w14:textId="77777777" w:rsidR="00C928E4" w:rsidRDefault="00C2041E">
      <w:pPr>
        <w:pBdr>
          <w:top w:val="nil"/>
          <w:left w:val="nil"/>
          <w:bottom w:val="nil"/>
          <w:right w:val="nil"/>
          <w:between w:val="nil"/>
        </w:pBdr>
        <w:jc w:val="both"/>
        <w:rPr>
          <w:rFonts w:ascii="Times New Roman" w:eastAsia="Times New Roman" w:hAnsi="Times New Roman" w:cs="Times New Roman"/>
          <w:i/>
        </w:rPr>
      </w:pPr>
      <w:r>
        <w:rPr>
          <w:rFonts w:ascii="Times New Roman" w:eastAsia="Times New Roman" w:hAnsi="Times New Roman" w:cs="Times New Roman"/>
          <w:i/>
        </w:rPr>
        <w:t>El Estado, por mandato de la ley, impedirá que se obstruya o se restrinja la libertad económica y evitará o controlará cualquier abuso que personas o empresas hagan de su posición dominante en el mercado nacional.</w:t>
      </w:r>
    </w:p>
    <w:p w14:paraId="1E39AF09" w14:textId="77777777" w:rsidR="00C928E4" w:rsidRDefault="00C928E4">
      <w:pPr>
        <w:pBdr>
          <w:top w:val="nil"/>
          <w:left w:val="nil"/>
          <w:bottom w:val="nil"/>
          <w:right w:val="nil"/>
          <w:between w:val="nil"/>
        </w:pBdr>
        <w:jc w:val="both"/>
        <w:rPr>
          <w:rFonts w:ascii="Times New Roman" w:eastAsia="Times New Roman" w:hAnsi="Times New Roman" w:cs="Times New Roman"/>
          <w:i/>
        </w:rPr>
      </w:pPr>
    </w:p>
    <w:p w14:paraId="25FCB254" w14:textId="77777777" w:rsidR="00C928E4" w:rsidRDefault="00C2041E">
      <w:pPr>
        <w:pBdr>
          <w:top w:val="nil"/>
          <w:left w:val="nil"/>
          <w:bottom w:val="nil"/>
          <w:right w:val="nil"/>
          <w:between w:val="nil"/>
        </w:pBdr>
        <w:jc w:val="both"/>
        <w:rPr>
          <w:rFonts w:ascii="Times New Roman" w:eastAsia="Times New Roman" w:hAnsi="Times New Roman" w:cs="Times New Roman"/>
          <w:i/>
        </w:rPr>
      </w:pPr>
      <w:r>
        <w:rPr>
          <w:rFonts w:ascii="Times New Roman" w:eastAsia="Times New Roman" w:hAnsi="Times New Roman" w:cs="Times New Roman"/>
          <w:i/>
        </w:rPr>
        <w:t>La ley delimitará el alcance de la libertad económica cuando así lo exijan el interés social, el ambiente y el patrimonio cultural de la Nación</w:t>
      </w:r>
    </w:p>
    <w:p w14:paraId="6A5213FC" w14:textId="77777777" w:rsidR="00C928E4" w:rsidRDefault="00C928E4">
      <w:pPr>
        <w:pBdr>
          <w:top w:val="nil"/>
          <w:left w:val="nil"/>
          <w:bottom w:val="nil"/>
          <w:right w:val="nil"/>
          <w:between w:val="nil"/>
        </w:pBdr>
        <w:jc w:val="both"/>
        <w:rPr>
          <w:rFonts w:ascii="Times New Roman" w:eastAsia="Times New Roman" w:hAnsi="Times New Roman" w:cs="Times New Roman"/>
          <w:i/>
        </w:rPr>
      </w:pPr>
    </w:p>
    <w:p w14:paraId="69D591B9" w14:textId="77777777" w:rsidR="00C928E4" w:rsidRDefault="00C2041E">
      <w:pPr>
        <w:pBdr>
          <w:top w:val="nil"/>
          <w:left w:val="nil"/>
          <w:bottom w:val="nil"/>
          <w:right w:val="nil"/>
          <w:between w:val="nil"/>
        </w:pBdr>
        <w:jc w:val="both"/>
        <w:rPr>
          <w:rFonts w:ascii="Times New Roman" w:eastAsia="Times New Roman" w:hAnsi="Times New Roman" w:cs="Times New Roman"/>
          <w:i/>
        </w:rPr>
      </w:pPr>
      <w:r>
        <w:rPr>
          <w:rFonts w:ascii="Times New Roman" w:eastAsia="Times New Roman" w:hAnsi="Times New Roman" w:cs="Times New Roman"/>
          <w:b/>
          <w:i/>
        </w:rPr>
        <w:t>ARTÍCULO 334.</w:t>
      </w:r>
      <w:r>
        <w:rPr>
          <w:rFonts w:ascii="Times New Roman" w:eastAsia="Times New Roman" w:hAnsi="Times New Roman" w:cs="Times New Roman"/>
          <w:i/>
        </w:rPr>
        <w:t xml:space="preserve"> La dirección general de la economía estará a cargo del Estado. Este intervendrá, por mandato de la ley, en la explotación de los recursos naturales, en el uso del suelo, en la producción, distribución, utilización y consumo de los bienes, y en los servicios públicos y privados, para racionalizar la economía con el fin de conseguir en el plano nacional y territorial, en un marco de sostenibilidad fiscal, el mejoramiento de la calidad de vida de los habitantes, la distribución equitativa de las oportunidades y los beneficios del desarrollo y la preservación de un ambiente sano. </w:t>
      </w:r>
    </w:p>
    <w:p w14:paraId="4144449E" w14:textId="77777777" w:rsidR="00C928E4" w:rsidRDefault="00C928E4">
      <w:pPr>
        <w:pBdr>
          <w:top w:val="nil"/>
          <w:left w:val="nil"/>
          <w:bottom w:val="nil"/>
          <w:right w:val="nil"/>
          <w:between w:val="nil"/>
        </w:pBdr>
        <w:jc w:val="both"/>
        <w:rPr>
          <w:rFonts w:ascii="Times New Roman" w:eastAsia="Times New Roman" w:hAnsi="Times New Roman" w:cs="Times New Roman"/>
          <w:i/>
        </w:rPr>
      </w:pPr>
    </w:p>
    <w:p w14:paraId="73093624" w14:textId="77777777" w:rsidR="00C928E4" w:rsidRDefault="00C2041E">
      <w:pPr>
        <w:pBdr>
          <w:top w:val="nil"/>
          <w:left w:val="nil"/>
          <w:bottom w:val="nil"/>
          <w:right w:val="nil"/>
          <w:between w:val="nil"/>
        </w:pBdr>
        <w:jc w:val="both"/>
        <w:rPr>
          <w:rFonts w:ascii="Times New Roman" w:eastAsia="Times New Roman" w:hAnsi="Times New Roman" w:cs="Times New Roman"/>
          <w:i/>
        </w:rPr>
      </w:pPr>
      <w:r>
        <w:rPr>
          <w:rFonts w:ascii="Times New Roman" w:eastAsia="Times New Roman" w:hAnsi="Times New Roman" w:cs="Times New Roman"/>
          <w:i/>
        </w:rPr>
        <w:t>El Estado, de manera especial, intervendrá para dar pleno empleo a los recursos humanos y asegurar, de manera progresiva, que todas las personas, en particular las de menores ingresos, tengan acceso efectivo al conjunto de los bienes y servicios básicos. También para promover la productividad y competitividad y el desarrollo armónico de las regiones.</w:t>
      </w:r>
    </w:p>
    <w:p w14:paraId="436EEDA0" w14:textId="77777777" w:rsidR="00C928E4" w:rsidRDefault="00C928E4">
      <w:pPr>
        <w:jc w:val="both"/>
        <w:rPr>
          <w:rFonts w:ascii="Times New Roman" w:eastAsia="Times New Roman" w:hAnsi="Times New Roman" w:cs="Times New Roman"/>
          <w:i/>
        </w:rPr>
      </w:pPr>
    </w:p>
    <w:p w14:paraId="119EF85B" w14:textId="77777777" w:rsidR="00C928E4" w:rsidRDefault="00C928E4">
      <w:pPr>
        <w:jc w:val="both"/>
        <w:rPr>
          <w:rFonts w:ascii="Times New Roman" w:eastAsia="Times New Roman" w:hAnsi="Times New Roman" w:cs="Times New Roman"/>
          <w:i/>
        </w:rPr>
      </w:pPr>
    </w:p>
    <w:p w14:paraId="1AAA7DBF" w14:textId="77777777" w:rsidR="00C928E4" w:rsidRDefault="00C2041E">
      <w:pPr>
        <w:jc w:val="both"/>
        <w:rPr>
          <w:rFonts w:ascii="Times New Roman" w:eastAsia="Times New Roman" w:hAnsi="Times New Roman" w:cs="Times New Roman"/>
          <w:b/>
        </w:rPr>
      </w:pPr>
      <w:r>
        <w:rPr>
          <w:rFonts w:ascii="Times New Roman" w:eastAsia="Times New Roman" w:hAnsi="Times New Roman" w:cs="Times New Roman"/>
          <w:i/>
        </w:rPr>
        <w:tab/>
      </w:r>
      <w:r>
        <w:rPr>
          <w:rFonts w:ascii="Times New Roman" w:eastAsia="Times New Roman" w:hAnsi="Times New Roman" w:cs="Times New Roman"/>
          <w:b/>
        </w:rPr>
        <w:t xml:space="preserve">Bloque de Constitucionalidad. </w:t>
      </w:r>
    </w:p>
    <w:p w14:paraId="19A6D531" w14:textId="77777777" w:rsidR="00C928E4" w:rsidRDefault="00C928E4">
      <w:pPr>
        <w:jc w:val="both"/>
        <w:rPr>
          <w:rFonts w:ascii="Times New Roman" w:eastAsia="Times New Roman" w:hAnsi="Times New Roman" w:cs="Times New Roman"/>
          <w:i/>
        </w:rPr>
      </w:pPr>
    </w:p>
    <w:p w14:paraId="304D733F" w14:textId="77777777" w:rsidR="00C928E4" w:rsidRDefault="00C2041E">
      <w:pPr>
        <w:jc w:val="both"/>
        <w:rPr>
          <w:rFonts w:ascii="Times New Roman" w:eastAsia="Times New Roman" w:hAnsi="Times New Roman" w:cs="Times New Roman"/>
          <w:b/>
        </w:rPr>
      </w:pPr>
      <w:r>
        <w:rPr>
          <w:rFonts w:ascii="Times New Roman" w:eastAsia="Times New Roman" w:hAnsi="Times New Roman" w:cs="Times New Roman"/>
          <w:b/>
        </w:rPr>
        <w:t xml:space="preserve">Pacto Internacional de Derechos Económicos, Sociales y Culturales: </w:t>
      </w:r>
    </w:p>
    <w:p w14:paraId="264B0570" w14:textId="77777777" w:rsidR="00C928E4" w:rsidRDefault="00C928E4">
      <w:pPr>
        <w:jc w:val="both"/>
        <w:rPr>
          <w:rFonts w:ascii="Times New Roman" w:eastAsia="Times New Roman" w:hAnsi="Times New Roman" w:cs="Times New Roman"/>
          <w:b/>
        </w:rPr>
      </w:pPr>
    </w:p>
    <w:p w14:paraId="271C7374" w14:textId="77777777" w:rsidR="00C928E4" w:rsidRDefault="00C2041E">
      <w:pPr>
        <w:jc w:val="both"/>
        <w:rPr>
          <w:rFonts w:ascii="Times New Roman" w:eastAsia="Times New Roman" w:hAnsi="Times New Roman" w:cs="Times New Roman"/>
          <w:b/>
          <w:i/>
        </w:rPr>
      </w:pPr>
      <w:r>
        <w:rPr>
          <w:rFonts w:ascii="Times New Roman" w:eastAsia="Times New Roman" w:hAnsi="Times New Roman" w:cs="Times New Roman"/>
          <w:b/>
          <w:i/>
        </w:rPr>
        <w:t>Artículo 1</w:t>
      </w:r>
    </w:p>
    <w:p w14:paraId="0985F3D9" w14:textId="77777777" w:rsidR="00C928E4" w:rsidRDefault="00C928E4">
      <w:pPr>
        <w:jc w:val="both"/>
        <w:rPr>
          <w:rFonts w:ascii="Times New Roman" w:eastAsia="Times New Roman" w:hAnsi="Times New Roman" w:cs="Times New Roman"/>
          <w:b/>
          <w:i/>
        </w:rPr>
      </w:pPr>
    </w:p>
    <w:p w14:paraId="72E882FA" w14:textId="77777777" w:rsidR="00C928E4" w:rsidRDefault="00C2041E">
      <w:pPr>
        <w:jc w:val="both"/>
        <w:rPr>
          <w:rFonts w:ascii="Times New Roman" w:eastAsia="Times New Roman" w:hAnsi="Times New Roman" w:cs="Times New Roman"/>
          <w:i/>
        </w:rPr>
      </w:pPr>
      <w:r>
        <w:rPr>
          <w:rFonts w:ascii="Times New Roman" w:eastAsia="Times New Roman" w:hAnsi="Times New Roman" w:cs="Times New Roman"/>
          <w:i/>
        </w:rPr>
        <w:t>1. Todos los pueblos tienen el derecho de libre determinación. En virtud de este derecho establecen libremente su condición política y proveen asimismo a su desarrollo económico, social y cultural.</w:t>
      </w:r>
    </w:p>
    <w:p w14:paraId="5CF5A508" w14:textId="77777777" w:rsidR="00C928E4" w:rsidRDefault="00C928E4">
      <w:pPr>
        <w:jc w:val="both"/>
        <w:rPr>
          <w:rFonts w:ascii="Times New Roman" w:eastAsia="Times New Roman" w:hAnsi="Times New Roman" w:cs="Times New Roman"/>
          <w:i/>
        </w:rPr>
      </w:pPr>
    </w:p>
    <w:p w14:paraId="56C9199E" w14:textId="77777777" w:rsidR="00C928E4" w:rsidRDefault="00C2041E">
      <w:pPr>
        <w:jc w:val="both"/>
        <w:rPr>
          <w:rFonts w:ascii="Times New Roman" w:eastAsia="Times New Roman" w:hAnsi="Times New Roman" w:cs="Times New Roman"/>
          <w:i/>
        </w:rPr>
      </w:pPr>
      <w:r>
        <w:rPr>
          <w:rFonts w:ascii="Times New Roman" w:eastAsia="Times New Roman" w:hAnsi="Times New Roman" w:cs="Times New Roman"/>
          <w:i/>
        </w:rPr>
        <w:t>2. Para el logro de sus fines, todos los pueblos pueden disponer libremente de sus riquezas y recursos naturales, sin perjuicio de las obligaciones que derivan de la cooperación económica internacional basada en el principio de beneficio recíproco, así como del derecho internacional. En ningún caso podrá privarse a un pueblo de sus propios medios de subsistencia.</w:t>
      </w:r>
    </w:p>
    <w:p w14:paraId="7BE8A9F2" w14:textId="77777777" w:rsidR="00C928E4" w:rsidRDefault="00C928E4">
      <w:pPr>
        <w:jc w:val="both"/>
        <w:rPr>
          <w:rFonts w:ascii="Times New Roman" w:eastAsia="Times New Roman" w:hAnsi="Times New Roman" w:cs="Times New Roman"/>
          <w:i/>
        </w:rPr>
      </w:pPr>
    </w:p>
    <w:p w14:paraId="27CCAA2B" w14:textId="77777777" w:rsidR="00C928E4" w:rsidRDefault="00C2041E">
      <w:pPr>
        <w:jc w:val="both"/>
        <w:rPr>
          <w:rFonts w:ascii="Times New Roman" w:eastAsia="Times New Roman" w:hAnsi="Times New Roman" w:cs="Times New Roman"/>
          <w:i/>
        </w:rPr>
      </w:pPr>
      <w:r>
        <w:rPr>
          <w:rFonts w:ascii="Times New Roman" w:eastAsia="Times New Roman" w:hAnsi="Times New Roman" w:cs="Times New Roman"/>
          <w:i/>
        </w:rPr>
        <w:t>3. Los Estados Partes en el presente Pacto, incluso los que tienen la responsabilidad de administrar territorios no autónomos y territorios en fideicomiso, promoverán el ejercicio del derecho de libre determinación, y respetarán este derecho de conformidad con las disposiciones de la Carta de las Naciones Unidas.</w:t>
      </w:r>
    </w:p>
    <w:p w14:paraId="71A8F3D5" w14:textId="77777777" w:rsidR="00C928E4" w:rsidRDefault="00C928E4">
      <w:pPr>
        <w:jc w:val="both"/>
        <w:rPr>
          <w:rFonts w:ascii="Times New Roman" w:eastAsia="Times New Roman" w:hAnsi="Times New Roman" w:cs="Times New Roman"/>
        </w:rPr>
      </w:pPr>
    </w:p>
    <w:p w14:paraId="799F25C4" w14:textId="77777777" w:rsidR="00C928E4" w:rsidRDefault="00C2041E">
      <w:pPr>
        <w:jc w:val="both"/>
        <w:rPr>
          <w:rFonts w:ascii="Times New Roman" w:eastAsia="Times New Roman" w:hAnsi="Times New Roman" w:cs="Times New Roman"/>
          <w:b/>
        </w:rPr>
      </w:pPr>
      <w:r>
        <w:rPr>
          <w:rFonts w:ascii="Times New Roman" w:eastAsia="Times New Roman" w:hAnsi="Times New Roman" w:cs="Times New Roman"/>
          <w:b/>
        </w:rPr>
        <w:t>Artículo 2</w:t>
      </w:r>
    </w:p>
    <w:p w14:paraId="6978C5EA" w14:textId="77777777" w:rsidR="00C928E4" w:rsidRDefault="00C928E4">
      <w:pPr>
        <w:jc w:val="both"/>
        <w:rPr>
          <w:rFonts w:ascii="Times New Roman" w:eastAsia="Times New Roman" w:hAnsi="Times New Roman" w:cs="Times New Roman"/>
          <w:b/>
        </w:rPr>
      </w:pPr>
    </w:p>
    <w:p w14:paraId="594D89A2"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i/>
        </w:rPr>
        <w:t>1. Cada uno de los Estados Partes en el presente Pacto se compromete a adoptar medidas, tanto por separado como mediante la asistencia y la cooperación internacionales, especialmente económicas y técnicas, hasta el máximo de los recursos de que disponga, para lograr progresivamente, por todos los medios apropiados, inclusive en particular la adopción de medidas legislativas, la plena efectividad de los derechos aquí reconocido</w:t>
      </w:r>
      <w:r>
        <w:rPr>
          <w:rFonts w:ascii="Times New Roman" w:eastAsia="Times New Roman" w:hAnsi="Times New Roman" w:cs="Times New Roman"/>
        </w:rPr>
        <w:t>s.</w:t>
      </w:r>
    </w:p>
    <w:p w14:paraId="0EA5EDB6" w14:textId="77777777" w:rsidR="00C928E4" w:rsidRDefault="00C928E4">
      <w:pPr>
        <w:jc w:val="both"/>
        <w:rPr>
          <w:rFonts w:ascii="Times New Roman" w:eastAsia="Times New Roman" w:hAnsi="Times New Roman" w:cs="Times New Roman"/>
        </w:rPr>
      </w:pPr>
    </w:p>
    <w:p w14:paraId="0E9D1B23" w14:textId="77777777" w:rsidR="00C928E4" w:rsidRDefault="00C2041E">
      <w:pPr>
        <w:ind w:left="720"/>
        <w:jc w:val="both"/>
        <w:rPr>
          <w:rFonts w:ascii="Times New Roman" w:eastAsia="Times New Roman" w:hAnsi="Times New Roman" w:cs="Times New Roman"/>
          <w:i/>
        </w:rPr>
      </w:pPr>
      <w:r>
        <w:rPr>
          <w:rFonts w:ascii="Times New Roman" w:eastAsia="Times New Roman" w:hAnsi="Times New Roman" w:cs="Times New Roman"/>
          <w:b/>
        </w:rPr>
        <w:t>De orden legal:</w:t>
      </w:r>
      <w:r>
        <w:rPr>
          <w:rFonts w:ascii="Times New Roman" w:eastAsia="Times New Roman" w:hAnsi="Times New Roman" w:cs="Times New Roman"/>
        </w:rPr>
        <w:t xml:space="preserve"> </w:t>
      </w:r>
    </w:p>
    <w:p w14:paraId="3C26D426" w14:textId="77777777" w:rsidR="00C928E4" w:rsidRDefault="00C928E4">
      <w:pPr>
        <w:jc w:val="both"/>
        <w:rPr>
          <w:rFonts w:ascii="Times New Roman" w:eastAsia="Times New Roman" w:hAnsi="Times New Roman" w:cs="Times New Roman"/>
        </w:rPr>
      </w:pPr>
    </w:p>
    <w:p w14:paraId="38A585C1"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b/>
        </w:rPr>
        <w:t xml:space="preserve">Ley 590 de 2000:  </w:t>
      </w:r>
      <w:r>
        <w:rPr>
          <w:rFonts w:ascii="Times New Roman" w:eastAsia="Times New Roman" w:hAnsi="Times New Roman" w:cs="Times New Roman"/>
        </w:rPr>
        <w:t>“Por la cual se dictan disposiciones para promover el desarrollo de las micro, pequeñas y medianas empresa”</w:t>
      </w:r>
    </w:p>
    <w:p w14:paraId="41090FAF" w14:textId="77777777" w:rsidR="00C928E4" w:rsidRDefault="00C928E4">
      <w:pPr>
        <w:jc w:val="both"/>
        <w:rPr>
          <w:rFonts w:ascii="Times New Roman" w:eastAsia="Times New Roman" w:hAnsi="Times New Roman" w:cs="Times New Roman"/>
        </w:rPr>
      </w:pPr>
    </w:p>
    <w:p w14:paraId="13AB8CDC" w14:textId="77777777" w:rsidR="00C928E4" w:rsidRDefault="00C2041E">
      <w:pPr>
        <w:jc w:val="both"/>
        <w:rPr>
          <w:rFonts w:ascii="Times New Roman" w:eastAsia="Times New Roman" w:hAnsi="Times New Roman" w:cs="Times New Roman"/>
          <w:i/>
        </w:rPr>
      </w:pPr>
      <w:r>
        <w:rPr>
          <w:rFonts w:ascii="Times New Roman" w:eastAsia="Times New Roman" w:hAnsi="Times New Roman" w:cs="Times New Roman"/>
        </w:rPr>
        <w:tab/>
      </w:r>
      <w:r>
        <w:rPr>
          <w:rFonts w:ascii="Times New Roman" w:eastAsia="Times New Roman" w:hAnsi="Times New Roman" w:cs="Times New Roman"/>
          <w:b/>
          <w:i/>
        </w:rPr>
        <w:t>Artículo 1°. Objeto de la ley.</w:t>
      </w:r>
      <w:r>
        <w:rPr>
          <w:rFonts w:ascii="Times New Roman" w:eastAsia="Times New Roman" w:hAnsi="Times New Roman" w:cs="Times New Roman"/>
          <w:i/>
        </w:rPr>
        <w:t xml:space="preserve"> La presente ley tiene por objeto:</w:t>
      </w:r>
    </w:p>
    <w:p w14:paraId="3747970F" w14:textId="77777777" w:rsidR="00C928E4" w:rsidRDefault="00C928E4">
      <w:pPr>
        <w:jc w:val="both"/>
        <w:rPr>
          <w:rFonts w:ascii="Times New Roman" w:eastAsia="Times New Roman" w:hAnsi="Times New Roman" w:cs="Times New Roman"/>
          <w:i/>
        </w:rPr>
      </w:pPr>
    </w:p>
    <w:p w14:paraId="507AEAB2" w14:textId="77777777" w:rsidR="00C928E4" w:rsidRDefault="00C2041E">
      <w:pPr>
        <w:ind w:left="720"/>
        <w:jc w:val="both"/>
        <w:rPr>
          <w:rFonts w:ascii="Times New Roman" w:eastAsia="Times New Roman" w:hAnsi="Times New Roman" w:cs="Times New Roman"/>
          <w:i/>
        </w:rPr>
      </w:pPr>
      <w:r>
        <w:rPr>
          <w:rFonts w:ascii="Times New Roman" w:eastAsia="Times New Roman" w:hAnsi="Times New Roman" w:cs="Times New Roman"/>
          <w:b/>
          <w:i/>
        </w:rPr>
        <w:t>a)</w:t>
      </w:r>
      <w:r>
        <w:rPr>
          <w:rFonts w:ascii="Times New Roman" w:eastAsia="Times New Roman" w:hAnsi="Times New Roman" w:cs="Times New Roman"/>
          <w:i/>
        </w:rPr>
        <w:t xml:space="preserve"> Promover el desarrollo integral de las micro, pequeñas y medianas empresas en consideración a sus aptitudes para la generación de empleo, el desarrollo regional, la integración entre sectores económicos, el aprovechamiento productivo de pequeños capitales y teniendo en cuenta la capacidad empresarial de los colombianos;</w:t>
      </w:r>
    </w:p>
    <w:p w14:paraId="168A9D1C" w14:textId="77777777" w:rsidR="00C928E4" w:rsidRDefault="00C928E4">
      <w:pPr>
        <w:ind w:left="720"/>
        <w:jc w:val="both"/>
        <w:rPr>
          <w:rFonts w:ascii="Times New Roman" w:eastAsia="Times New Roman" w:hAnsi="Times New Roman" w:cs="Times New Roman"/>
          <w:i/>
        </w:rPr>
      </w:pPr>
    </w:p>
    <w:p w14:paraId="5EBA0AF8" w14:textId="77777777" w:rsidR="00C928E4" w:rsidRDefault="00C2041E">
      <w:pPr>
        <w:ind w:left="720"/>
        <w:jc w:val="both"/>
        <w:rPr>
          <w:rFonts w:ascii="Times New Roman" w:eastAsia="Times New Roman" w:hAnsi="Times New Roman" w:cs="Times New Roman"/>
          <w:i/>
        </w:rPr>
      </w:pPr>
      <w:r>
        <w:rPr>
          <w:rFonts w:ascii="Times New Roman" w:eastAsia="Times New Roman" w:hAnsi="Times New Roman" w:cs="Times New Roman"/>
          <w:i/>
        </w:rPr>
        <w:t xml:space="preserve">(...) </w:t>
      </w:r>
    </w:p>
    <w:p w14:paraId="2243B718" w14:textId="77777777" w:rsidR="00C928E4" w:rsidRDefault="00C928E4">
      <w:pPr>
        <w:ind w:left="720"/>
        <w:jc w:val="both"/>
        <w:rPr>
          <w:rFonts w:ascii="Times New Roman" w:eastAsia="Times New Roman" w:hAnsi="Times New Roman" w:cs="Times New Roman"/>
          <w:i/>
        </w:rPr>
      </w:pPr>
    </w:p>
    <w:p w14:paraId="1AD3D5E2" w14:textId="77777777" w:rsidR="00C928E4" w:rsidRDefault="00C2041E">
      <w:pPr>
        <w:ind w:left="720"/>
        <w:jc w:val="both"/>
        <w:rPr>
          <w:rFonts w:ascii="Times New Roman" w:eastAsia="Times New Roman" w:hAnsi="Times New Roman" w:cs="Times New Roman"/>
          <w:i/>
        </w:rPr>
      </w:pPr>
      <w:r>
        <w:rPr>
          <w:rFonts w:ascii="Times New Roman" w:eastAsia="Times New Roman" w:hAnsi="Times New Roman" w:cs="Times New Roman"/>
          <w:b/>
          <w:i/>
        </w:rPr>
        <w:t>g)</w:t>
      </w:r>
      <w:r>
        <w:rPr>
          <w:rFonts w:ascii="Times New Roman" w:eastAsia="Times New Roman" w:hAnsi="Times New Roman" w:cs="Times New Roman"/>
          <w:i/>
        </w:rPr>
        <w:t xml:space="preserve"> Coadyuvar en el desarrollo de las organizaciones empresariales, en la generación de esquemas de asociatividad empresarial y en alianzas estratégicas entre las entidades públicas y privadas de apoyo a las micro, pequeñas y medianas empresas; </w:t>
      </w:r>
    </w:p>
    <w:p w14:paraId="4BC1017D" w14:textId="77777777" w:rsidR="00C928E4" w:rsidRDefault="00C928E4">
      <w:pPr>
        <w:ind w:left="720"/>
        <w:jc w:val="both"/>
        <w:rPr>
          <w:rFonts w:ascii="Times New Roman" w:eastAsia="Times New Roman" w:hAnsi="Times New Roman" w:cs="Times New Roman"/>
          <w:i/>
        </w:rPr>
      </w:pPr>
    </w:p>
    <w:p w14:paraId="4662EFB4" w14:textId="77777777" w:rsidR="00C928E4" w:rsidRDefault="00C2041E">
      <w:pPr>
        <w:ind w:left="720"/>
        <w:jc w:val="both"/>
        <w:rPr>
          <w:rFonts w:ascii="Times New Roman" w:eastAsia="Times New Roman" w:hAnsi="Times New Roman" w:cs="Times New Roman"/>
          <w:i/>
        </w:rPr>
      </w:pPr>
      <w:r>
        <w:rPr>
          <w:rFonts w:ascii="Times New Roman" w:eastAsia="Times New Roman" w:hAnsi="Times New Roman" w:cs="Times New Roman"/>
          <w:i/>
        </w:rPr>
        <w:t>(...)</w:t>
      </w:r>
    </w:p>
    <w:p w14:paraId="5C929751" w14:textId="77777777" w:rsidR="00C928E4" w:rsidRDefault="00C928E4">
      <w:pPr>
        <w:ind w:left="720"/>
        <w:jc w:val="both"/>
        <w:rPr>
          <w:rFonts w:ascii="Times New Roman" w:eastAsia="Times New Roman" w:hAnsi="Times New Roman" w:cs="Times New Roman"/>
          <w:i/>
        </w:rPr>
      </w:pPr>
    </w:p>
    <w:p w14:paraId="7EC3F0D6" w14:textId="77777777" w:rsidR="00C928E4" w:rsidRDefault="00C2041E">
      <w:pPr>
        <w:ind w:left="720"/>
        <w:jc w:val="both"/>
        <w:rPr>
          <w:rFonts w:ascii="Times New Roman" w:eastAsia="Times New Roman" w:hAnsi="Times New Roman" w:cs="Times New Roman"/>
          <w:i/>
        </w:rPr>
      </w:pPr>
      <w:r>
        <w:rPr>
          <w:rFonts w:ascii="Times New Roman" w:eastAsia="Times New Roman" w:hAnsi="Times New Roman" w:cs="Times New Roman"/>
          <w:b/>
          <w:i/>
        </w:rPr>
        <w:t>j)</w:t>
      </w:r>
      <w:r>
        <w:rPr>
          <w:rFonts w:ascii="Times New Roman" w:eastAsia="Times New Roman" w:hAnsi="Times New Roman" w:cs="Times New Roman"/>
          <w:i/>
        </w:rPr>
        <w:t xml:space="preserve"> Crear las bases de un sistema de incentivos a la capitalización de las micro, pequeñas y medianas empresas. </w:t>
      </w:r>
    </w:p>
    <w:p w14:paraId="3DFB4FF5" w14:textId="77777777" w:rsidR="00C928E4" w:rsidRDefault="00C928E4">
      <w:pPr>
        <w:ind w:left="720"/>
        <w:jc w:val="both"/>
        <w:rPr>
          <w:rFonts w:ascii="Times New Roman" w:eastAsia="Times New Roman" w:hAnsi="Times New Roman" w:cs="Times New Roman"/>
        </w:rPr>
      </w:pPr>
    </w:p>
    <w:p w14:paraId="6D373A8D" w14:textId="77777777" w:rsidR="00C928E4" w:rsidRDefault="00C2041E">
      <w:pPr>
        <w:ind w:left="720"/>
        <w:jc w:val="both"/>
        <w:rPr>
          <w:rFonts w:ascii="Times New Roman" w:eastAsia="Times New Roman" w:hAnsi="Times New Roman" w:cs="Times New Roman"/>
          <w:i/>
        </w:rPr>
      </w:pPr>
      <w:r>
        <w:rPr>
          <w:rFonts w:ascii="Times New Roman" w:eastAsia="Times New Roman" w:hAnsi="Times New Roman" w:cs="Times New Roman"/>
          <w:b/>
          <w:i/>
        </w:rPr>
        <w:t>Artículo 42.  Modificado por el art. 21, Ley 905 de 2004. Regímenes tributarios especiales</w:t>
      </w:r>
      <w:r>
        <w:rPr>
          <w:rFonts w:ascii="Times New Roman" w:eastAsia="Times New Roman" w:hAnsi="Times New Roman" w:cs="Times New Roman"/>
          <w:i/>
        </w:rPr>
        <w:t>. Los municipios, los distritos y departamentos podrán establecer regímenes especiales sobre los impuestos, tasas y contribuciones del respectivo orden territorial con el fin de estimular la creación y subsistencia de Mipymes. Para tal efecto podrán establecer, entre otras medidas, exclusiones, períodos de exoneración y tarifas inferiores a las ordinarias.</w:t>
      </w:r>
    </w:p>
    <w:p w14:paraId="7ACE172C" w14:textId="77777777" w:rsidR="00C928E4" w:rsidRDefault="00C928E4">
      <w:pPr>
        <w:ind w:left="720"/>
        <w:jc w:val="both"/>
        <w:rPr>
          <w:rFonts w:ascii="Times New Roman" w:eastAsia="Times New Roman" w:hAnsi="Times New Roman" w:cs="Times New Roman"/>
          <w:i/>
        </w:rPr>
      </w:pPr>
    </w:p>
    <w:p w14:paraId="4F5BFF2D" w14:textId="77777777" w:rsidR="00C928E4" w:rsidRDefault="00C2041E">
      <w:pPr>
        <w:jc w:val="both"/>
        <w:rPr>
          <w:rFonts w:ascii="Times New Roman" w:eastAsia="Times New Roman" w:hAnsi="Times New Roman" w:cs="Times New Roman"/>
          <w:b/>
        </w:rPr>
      </w:pPr>
      <w:r>
        <w:rPr>
          <w:rFonts w:ascii="Times New Roman" w:eastAsia="Times New Roman" w:hAnsi="Times New Roman" w:cs="Times New Roman"/>
          <w:b/>
        </w:rPr>
        <w:t xml:space="preserve">Ley 2065 de 2020: “Por medio de la cual se impulsa el emprendimiento en Colombia” </w:t>
      </w:r>
    </w:p>
    <w:p w14:paraId="1759357F" w14:textId="77777777" w:rsidR="00C928E4" w:rsidRDefault="00C928E4">
      <w:pPr>
        <w:jc w:val="both"/>
        <w:rPr>
          <w:rFonts w:ascii="Times New Roman" w:eastAsia="Times New Roman" w:hAnsi="Times New Roman" w:cs="Times New Roman"/>
          <w:b/>
        </w:rPr>
      </w:pPr>
    </w:p>
    <w:p w14:paraId="5465FBF0" w14:textId="77777777" w:rsidR="00C928E4" w:rsidRDefault="00C2041E">
      <w:pPr>
        <w:ind w:left="720"/>
        <w:jc w:val="both"/>
        <w:rPr>
          <w:rFonts w:ascii="Times New Roman" w:eastAsia="Times New Roman" w:hAnsi="Times New Roman" w:cs="Times New Roman"/>
          <w:i/>
        </w:rPr>
      </w:pPr>
      <w:r>
        <w:rPr>
          <w:rFonts w:ascii="Times New Roman" w:eastAsia="Times New Roman" w:hAnsi="Times New Roman" w:cs="Times New Roman"/>
          <w:b/>
          <w:i/>
        </w:rPr>
        <w:t xml:space="preserve">ARTÍCULO 1. OBJETO. </w:t>
      </w:r>
      <w:r>
        <w:rPr>
          <w:rFonts w:ascii="Times New Roman" w:eastAsia="Times New Roman" w:hAnsi="Times New Roman" w:cs="Times New Roman"/>
          <w:i/>
        </w:rPr>
        <w:t>La presente Ley tiene por objeto establecer un marco regulatorio que propicie el emprendimiento y el crecimiento, consolidación y sostenibilidad de las empresas, con el fin de aumentar el bienestar social y generar equidad.</w:t>
      </w:r>
    </w:p>
    <w:p w14:paraId="677F05DE" w14:textId="77777777" w:rsidR="00C928E4" w:rsidRDefault="00C928E4">
      <w:pPr>
        <w:ind w:left="720"/>
        <w:jc w:val="both"/>
        <w:rPr>
          <w:rFonts w:ascii="Times New Roman" w:eastAsia="Times New Roman" w:hAnsi="Times New Roman" w:cs="Times New Roman"/>
          <w:i/>
        </w:rPr>
      </w:pPr>
    </w:p>
    <w:p w14:paraId="0F111421" w14:textId="77777777" w:rsidR="00C928E4" w:rsidRDefault="00C2041E">
      <w:pPr>
        <w:ind w:left="720"/>
        <w:jc w:val="both"/>
        <w:rPr>
          <w:rFonts w:ascii="Times New Roman" w:eastAsia="Times New Roman" w:hAnsi="Times New Roman" w:cs="Times New Roman"/>
          <w:i/>
        </w:rPr>
      </w:pPr>
      <w:r>
        <w:rPr>
          <w:rFonts w:ascii="Times New Roman" w:eastAsia="Times New Roman" w:hAnsi="Times New Roman" w:cs="Times New Roman"/>
          <w:i/>
        </w:rPr>
        <w:t>Dicho marco delineará un enfoque regionalizado de acuerdo a las realidades socioeconómicas de cada región.</w:t>
      </w:r>
    </w:p>
    <w:p w14:paraId="1D3E00D8" w14:textId="77777777" w:rsidR="00C928E4" w:rsidRDefault="00C928E4">
      <w:pPr>
        <w:ind w:left="720"/>
        <w:jc w:val="both"/>
        <w:rPr>
          <w:rFonts w:ascii="Times New Roman" w:eastAsia="Times New Roman" w:hAnsi="Times New Roman" w:cs="Times New Roman"/>
          <w:i/>
        </w:rPr>
      </w:pPr>
    </w:p>
    <w:p w14:paraId="6EB3238D" w14:textId="77777777" w:rsidR="00C928E4" w:rsidRDefault="00C2041E">
      <w:pPr>
        <w:jc w:val="both"/>
        <w:rPr>
          <w:rFonts w:ascii="Times New Roman" w:eastAsia="Times New Roman" w:hAnsi="Times New Roman" w:cs="Times New Roman"/>
          <w:b/>
        </w:rPr>
      </w:pPr>
      <w:r>
        <w:rPr>
          <w:rFonts w:ascii="Times New Roman" w:eastAsia="Times New Roman" w:hAnsi="Times New Roman" w:cs="Times New Roman"/>
          <w:b/>
        </w:rPr>
        <w:t xml:space="preserve">Ley 2254 de 2022: “Por medio de la cual se crea la escalera de la formalidad, se reactiva el sector empresarial en Colombia y se dictan otras disposiciones” </w:t>
      </w:r>
    </w:p>
    <w:p w14:paraId="6967C431" w14:textId="77777777" w:rsidR="00C928E4" w:rsidRDefault="00C928E4">
      <w:pPr>
        <w:jc w:val="both"/>
        <w:rPr>
          <w:rFonts w:ascii="Times New Roman" w:eastAsia="Times New Roman" w:hAnsi="Times New Roman" w:cs="Times New Roman"/>
          <w:b/>
        </w:rPr>
      </w:pPr>
    </w:p>
    <w:p w14:paraId="4CDE8243" w14:textId="77777777" w:rsidR="00C928E4" w:rsidRDefault="00C2041E">
      <w:pPr>
        <w:ind w:left="720"/>
        <w:jc w:val="both"/>
        <w:rPr>
          <w:rFonts w:ascii="Times New Roman" w:eastAsia="Times New Roman" w:hAnsi="Times New Roman" w:cs="Times New Roman"/>
          <w:i/>
        </w:rPr>
      </w:pPr>
      <w:r>
        <w:rPr>
          <w:rFonts w:ascii="Times New Roman" w:eastAsia="Times New Roman" w:hAnsi="Times New Roman" w:cs="Times New Roman"/>
          <w:b/>
          <w:i/>
        </w:rPr>
        <w:t xml:space="preserve">ARTÍCULO 1. Programa “Escalera de la Formalidad”. </w:t>
      </w:r>
      <w:r>
        <w:rPr>
          <w:rFonts w:ascii="Times New Roman" w:eastAsia="Times New Roman" w:hAnsi="Times New Roman" w:cs="Times New Roman"/>
          <w:i/>
        </w:rPr>
        <w:t>Créese el programa “Escalera de la Formalidad” mediante el cual se establecerá el camino gradual de formalización de nuevas micro, pequeñas y medianas empresas en el país, tendiente a que se creen empresas formales y se genere un camino progresivo hasta los requerimientos que hoy existen. Las micro, pequeñas y medianas empresas ya constituidas o en proceso de formalización, podrán ser parte del programa creado en esta ley.</w:t>
      </w:r>
    </w:p>
    <w:p w14:paraId="0F3824DA" w14:textId="77777777" w:rsidR="00C928E4" w:rsidRDefault="00C928E4">
      <w:pPr>
        <w:ind w:left="720"/>
        <w:jc w:val="both"/>
        <w:rPr>
          <w:rFonts w:ascii="Times New Roman" w:eastAsia="Times New Roman" w:hAnsi="Times New Roman" w:cs="Times New Roman"/>
          <w:i/>
        </w:rPr>
      </w:pPr>
    </w:p>
    <w:p w14:paraId="77EA70DF" w14:textId="77777777" w:rsidR="00C928E4" w:rsidRDefault="00C2041E">
      <w:pPr>
        <w:ind w:left="720"/>
        <w:jc w:val="both"/>
        <w:rPr>
          <w:rFonts w:ascii="Times New Roman" w:eastAsia="Times New Roman" w:hAnsi="Times New Roman" w:cs="Times New Roman"/>
          <w:b/>
          <w:i/>
        </w:rPr>
      </w:pPr>
      <w:r>
        <w:rPr>
          <w:rFonts w:ascii="Times New Roman" w:eastAsia="Times New Roman" w:hAnsi="Times New Roman" w:cs="Times New Roman"/>
          <w:i/>
        </w:rPr>
        <w:t>El Ministerio de Comercio, Industria y Turismo determinará el procedimiento para su vinculación, de manera que se les facilite la recuperación y reactivación de las micro, pequeñas y medianas empresa</w:t>
      </w:r>
      <w:r>
        <w:rPr>
          <w:rFonts w:ascii="Times New Roman" w:eastAsia="Times New Roman" w:hAnsi="Times New Roman" w:cs="Times New Roman"/>
          <w:b/>
          <w:i/>
        </w:rPr>
        <w:t>s.</w:t>
      </w:r>
    </w:p>
    <w:p w14:paraId="77F90542" w14:textId="77777777" w:rsidR="00C928E4" w:rsidRDefault="00C928E4">
      <w:pPr>
        <w:jc w:val="both"/>
        <w:rPr>
          <w:rFonts w:ascii="Times New Roman" w:eastAsia="Times New Roman" w:hAnsi="Times New Roman" w:cs="Times New Roman"/>
          <w:b/>
          <w:i/>
        </w:rPr>
      </w:pPr>
    </w:p>
    <w:p w14:paraId="274BA4B2" w14:textId="77777777" w:rsidR="00C928E4" w:rsidRDefault="00C928E4">
      <w:pPr>
        <w:jc w:val="both"/>
        <w:rPr>
          <w:rFonts w:ascii="Times New Roman" w:eastAsia="Times New Roman" w:hAnsi="Times New Roman" w:cs="Times New Roman"/>
          <w:b/>
          <w:i/>
        </w:rPr>
      </w:pPr>
    </w:p>
    <w:p w14:paraId="1BFA13E9" w14:textId="77777777" w:rsidR="00C928E4" w:rsidRDefault="00C2041E">
      <w:pPr>
        <w:ind w:left="720"/>
        <w:jc w:val="both"/>
        <w:rPr>
          <w:rFonts w:ascii="Times New Roman" w:eastAsia="Times New Roman" w:hAnsi="Times New Roman" w:cs="Times New Roman"/>
          <w:i/>
        </w:rPr>
      </w:pPr>
      <w:r>
        <w:rPr>
          <w:rFonts w:ascii="Times New Roman" w:eastAsia="Times New Roman" w:hAnsi="Times New Roman" w:cs="Times New Roman"/>
          <w:b/>
          <w:i/>
        </w:rPr>
        <w:t xml:space="preserve">ARTÍCULO 2. </w:t>
      </w:r>
      <w:r>
        <w:rPr>
          <w:rFonts w:ascii="Times New Roman" w:eastAsia="Times New Roman" w:hAnsi="Times New Roman" w:cs="Times New Roman"/>
          <w:i/>
        </w:rPr>
        <w:t>Características del programa. Las empresas que estén en cualquier escalón de la “Escalera de la Formalidad” podrán obtener todos los beneficios existentes y aplicables a una empresa formalmente constituida. No será exigible a estas empresas el cumplimiento de ningún otro requisito adicional para funcionar y comercializar sus productos que aquellos previstos para su escalón.</w:t>
      </w:r>
    </w:p>
    <w:p w14:paraId="63DAA3EA" w14:textId="77777777" w:rsidR="00C928E4" w:rsidRDefault="00C928E4">
      <w:pPr>
        <w:ind w:left="720"/>
        <w:jc w:val="both"/>
        <w:rPr>
          <w:rFonts w:ascii="Times New Roman" w:eastAsia="Times New Roman" w:hAnsi="Times New Roman" w:cs="Times New Roman"/>
          <w:b/>
          <w:i/>
        </w:rPr>
      </w:pPr>
    </w:p>
    <w:p w14:paraId="55CF32C8" w14:textId="77777777" w:rsidR="00C928E4" w:rsidRDefault="00C2041E">
      <w:pPr>
        <w:ind w:left="720"/>
        <w:jc w:val="both"/>
        <w:rPr>
          <w:rFonts w:ascii="Times New Roman" w:eastAsia="Times New Roman" w:hAnsi="Times New Roman" w:cs="Times New Roman"/>
          <w:i/>
        </w:rPr>
      </w:pPr>
      <w:r>
        <w:rPr>
          <w:rFonts w:ascii="Times New Roman" w:eastAsia="Times New Roman" w:hAnsi="Times New Roman" w:cs="Times New Roman"/>
          <w:b/>
          <w:i/>
        </w:rPr>
        <w:t xml:space="preserve">PARÁGRAFO. </w:t>
      </w:r>
      <w:r>
        <w:rPr>
          <w:rFonts w:ascii="Times New Roman" w:eastAsia="Times New Roman" w:hAnsi="Times New Roman" w:cs="Times New Roman"/>
          <w:i/>
        </w:rPr>
        <w:t>Los nuevos requisitos para las micro, pequeñas y medianas empresas que expida el gobierno nacional solo podrán ser integrados mediante decreto del Ministerio de Comercio, Industria y Turismo; y el ministro del ramo correspondiente modificando el decreto que reglamente esta ley todos los nuevos requisitos que expidan el Congreso deberán guardar la gradualidad para micros, pequeñas y medianas empresas, especialmente en mater a tributaria y requerirán un análisis de costos y necesidad que deberán ser presentado por el autor.</w:t>
      </w:r>
    </w:p>
    <w:p w14:paraId="08DBF648" w14:textId="77777777" w:rsidR="00C928E4" w:rsidRDefault="00C928E4">
      <w:pPr>
        <w:ind w:left="720"/>
        <w:jc w:val="both"/>
        <w:rPr>
          <w:rFonts w:ascii="Times New Roman" w:eastAsia="Times New Roman" w:hAnsi="Times New Roman" w:cs="Times New Roman"/>
          <w:b/>
          <w:i/>
        </w:rPr>
      </w:pPr>
    </w:p>
    <w:p w14:paraId="7983D08A" w14:textId="77777777" w:rsidR="00C928E4" w:rsidRDefault="00C2041E">
      <w:pPr>
        <w:ind w:left="720"/>
        <w:jc w:val="both"/>
        <w:rPr>
          <w:rFonts w:ascii="Times New Roman" w:eastAsia="Times New Roman" w:hAnsi="Times New Roman" w:cs="Times New Roman"/>
          <w:i/>
        </w:rPr>
      </w:pPr>
      <w:r>
        <w:rPr>
          <w:rFonts w:ascii="Times New Roman" w:eastAsia="Times New Roman" w:hAnsi="Times New Roman" w:cs="Times New Roman"/>
          <w:b/>
          <w:i/>
        </w:rPr>
        <w:t xml:space="preserve">ARTÍCULO 3. </w:t>
      </w:r>
      <w:r>
        <w:rPr>
          <w:rFonts w:ascii="Times New Roman" w:eastAsia="Times New Roman" w:hAnsi="Times New Roman" w:cs="Times New Roman"/>
          <w:i/>
        </w:rPr>
        <w:t>Estructura del Programa. La “Escalera de la Formalidad” contará con al menos tres escalones. Cada uno tendrá una permanencia definida por el tamaño de la empresa o tiempo de consolidación. Las exigencias de cada uno se mantendrán estatales en el tiempo que la empresa está en ese escalón. Las exigencias aumentarán de manera gradual, hasta colocarlas en el escalón final de formalidad completa.</w:t>
      </w:r>
    </w:p>
    <w:p w14:paraId="50E43AAA" w14:textId="77777777" w:rsidR="00C928E4" w:rsidRDefault="00C928E4">
      <w:pPr>
        <w:jc w:val="both"/>
        <w:rPr>
          <w:rFonts w:ascii="Times New Roman" w:eastAsia="Times New Roman" w:hAnsi="Times New Roman" w:cs="Times New Roman"/>
          <w:b/>
        </w:rPr>
      </w:pPr>
    </w:p>
    <w:p w14:paraId="5EAB6166" w14:textId="77777777" w:rsidR="00C928E4" w:rsidRDefault="00C2041E">
      <w:pPr>
        <w:ind w:left="720"/>
        <w:jc w:val="both"/>
        <w:rPr>
          <w:rFonts w:ascii="Times New Roman" w:eastAsia="Times New Roman" w:hAnsi="Times New Roman" w:cs="Times New Roman"/>
          <w:b/>
        </w:rPr>
      </w:pPr>
      <w:r>
        <w:rPr>
          <w:rFonts w:ascii="Times New Roman" w:eastAsia="Times New Roman" w:hAnsi="Times New Roman" w:cs="Times New Roman"/>
          <w:b/>
        </w:rPr>
        <w:t xml:space="preserve">De orden Distrital: </w:t>
      </w:r>
    </w:p>
    <w:p w14:paraId="6FC4777E" w14:textId="77777777" w:rsidR="00C928E4" w:rsidRDefault="00C928E4">
      <w:pPr>
        <w:jc w:val="both"/>
        <w:rPr>
          <w:rFonts w:ascii="Times New Roman" w:eastAsia="Times New Roman" w:hAnsi="Times New Roman" w:cs="Times New Roman"/>
          <w:i/>
        </w:rPr>
      </w:pPr>
    </w:p>
    <w:p w14:paraId="5F291D20" w14:textId="77777777" w:rsidR="00C928E4" w:rsidRDefault="00C928E4">
      <w:pPr>
        <w:pBdr>
          <w:top w:val="nil"/>
          <w:left w:val="nil"/>
          <w:bottom w:val="nil"/>
          <w:right w:val="nil"/>
          <w:between w:val="nil"/>
        </w:pBdr>
        <w:ind w:left="1080"/>
        <w:jc w:val="both"/>
        <w:rPr>
          <w:rFonts w:ascii="Times New Roman" w:eastAsia="Times New Roman" w:hAnsi="Times New Roman" w:cs="Times New Roman"/>
        </w:rPr>
      </w:pPr>
    </w:p>
    <w:p w14:paraId="474F344F" w14:textId="77777777" w:rsidR="00C928E4" w:rsidRDefault="00C2041E">
      <w:pPr>
        <w:numPr>
          <w:ilvl w:val="0"/>
          <w:numId w:val="7"/>
        </w:numPr>
        <w:pBdr>
          <w:top w:val="nil"/>
          <w:left w:val="nil"/>
          <w:bottom w:val="nil"/>
          <w:right w:val="nil"/>
          <w:between w:val="nil"/>
        </w:pBdr>
        <w:jc w:val="both"/>
        <w:rPr>
          <w:rFonts w:ascii="Times New Roman" w:eastAsia="Times New Roman" w:hAnsi="Times New Roman" w:cs="Times New Roman"/>
        </w:rPr>
      </w:pPr>
      <w:r>
        <w:rPr>
          <w:rFonts w:ascii="Times New Roman" w:eastAsia="Times New Roman" w:hAnsi="Times New Roman" w:cs="Times New Roman"/>
          <w:b/>
        </w:rPr>
        <w:t>JUSTIFICACIÓN DEL PROYECTO</w:t>
      </w:r>
    </w:p>
    <w:p w14:paraId="449692D1"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 xml:space="preserve">Para efectos de la justificación del presente proyecto de acuerdo </w:t>
      </w:r>
      <w:r>
        <w:rPr>
          <w:rFonts w:ascii="Times New Roman" w:eastAsia="Times New Roman" w:hAnsi="Times New Roman" w:cs="Times New Roman"/>
          <w:i/>
        </w:rPr>
        <w:t>“Por medio del cual se implementa el programa “Escalera de la Formalidad” para el fortalecimiento y formalización de las micro, pequeñas y medianas empresas (MIPYMES) en el Distrito Capital y se dictan otras disposiciones</w:t>
      </w:r>
      <w:r>
        <w:rPr>
          <w:rFonts w:ascii="Times New Roman" w:eastAsia="Times New Roman" w:hAnsi="Times New Roman" w:cs="Times New Roman"/>
        </w:rPr>
        <w:t xml:space="preserve"> , se seguirá el siguiente orden:  </w:t>
      </w:r>
    </w:p>
    <w:p w14:paraId="5F8B26C7" w14:textId="77777777" w:rsidR="00C928E4" w:rsidRDefault="00C2041E">
      <w:pPr>
        <w:numPr>
          <w:ilvl w:val="0"/>
          <w:numId w:val="1"/>
        </w:numPr>
        <w:spacing w:before="240" w:line="276" w:lineRule="auto"/>
        <w:jc w:val="both"/>
        <w:rPr>
          <w:rFonts w:ascii="Times New Roman" w:eastAsia="Times New Roman" w:hAnsi="Times New Roman" w:cs="Times New Roman"/>
          <w:b/>
        </w:rPr>
      </w:pPr>
      <w:r>
        <w:rPr>
          <w:rFonts w:ascii="Times New Roman" w:eastAsia="Times New Roman" w:hAnsi="Times New Roman" w:cs="Times New Roman"/>
          <w:b/>
        </w:rPr>
        <w:t>Introducción</w:t>
      </w:r>
    </w:p>
    <w:p w14:paraId="785B8BBD" w14:textId="77777777" w:rsidR="00C928E4" w:rsidRDefault="00C2041E">
      <w:pPr>
        <w:numPr>
          <w:ilvl w:val="0"/>
          <w:numId w:val="1"/>
        </w:numPr>
        <w:spacing w:line="276" w:lineRule="auto"/>
        <w:jc w:val="both"/>
        <w:rPr>
          <w:rFonts w:ascii="Times New Roman" w:eastAsia="Times New Roman" w:hAnsi="Times New Roman" w:cs="Times New Roman"/>
          <w:b/>
        </w:rPr>
      </w:pPr>
      <w:r>
        <w:rPr>
          <w:rFonts w:ascii="Times New Roman" w:eastAsia="Times New Roman" w:hAnsi="Times New Roman" w:cs="Times New Roman"/>
          <w:b/>
        </w:rPr>
        <w:t>Definición de empresas micro, pequeñas y mediana (MiPymes)</w:t>
      </w:r>
    </w:p>
    <w:p w14:paraId="6B0CBDA1" w14:textId="77777777" w:rsidR="00C928E4" w:rsidRDefault="00C2041E">
      <w:pPr>
        <w:numPr>
          <w:ilvl w:val="0"/>
          <w:numId w:val="1"/>
        </w:numPr>
        <w:spacing w:line="276" w:lineRule="auto"/>
        <w:jc w:val="both"/>
        <w:rPr>
          <w:rFonts w:ascii="Times New Roman" w:eastAsia="Times New Roman" w:hAnsi="Times New Roman" w:cs="Times New Roman"/>
          <w:b/>
        </w:rPr>
      </w:pPr>
      <w:r>
        <w:rPr>
          <w:rFonts w:ascii="Times New Roman" w:eastAsia="Times New Roman" w:hAnsi="Times New Roman" w:cs="Times New Roman"/>
          <w:b/>
        </w:rPr>
        <w:t>Estado actual de las MiPymes en Bogotá</w:t>
      </w:r>
    </w:p>
    <w:p w14:paraId="62D3BFF3" w14:textId="77777777" w:rsidR="00C928E4" w:rsidRDefault="00C2041E">
      <w:pPr>
        <w:numPr>
          <w:ilvl w:val="0"/>
          <w:numId w:val="1"/>
        </w:numPr>
        <w:spacing w:line="276" w:lineRule="auto"/>
        <w:jc w:val="both"/>
        <w:rPr>
          <w:rFonts w:ascii="Times New Roman" w:eastAsia="Times New Roman" w:hAnsi="Times New Roman" w:cs="Times New Roman"/>
          <w:b/>
        </w:rPr>
      </w:pPr>
      <w:r>
        <w:rPr>
          <w:rFonts w:ascii="Times New Roman" w:eastAsia="Times New Roman" w:hAnsi="Times New Roman" w:cs="Times New Roman"/>
          <w:b/>
        </w:rPr>
        <w:t>Requisitos para la constitución formal de una MiPyme</w:t>
      </w:r>
    </w:p>
    <w:p w14:paraId="7077ADDB" w14:textId="77777777" w:rsidR="00C928E4" w:rsidRDefault="00C2041E">
      <w:pPr>
        <w:numPr>
          <w:ilvl w:val="0"/>
          <w:numId w:val="1"/>
        </w:numPr>
        <w:spacing w:line="276" w:lineRule="auto"/>
        <w:jc w:val="both"/>
        <w:rPr>
          <w:rFonts w:ascii="Times New Roman" w:eastAsia="Times New Roman" w:hAnsi="Times New Roman" w:cs="Times New Roman"/>
          <w:b/>
        </w:rPr>
      </w:pPr>
      <w:r>
        <w:rPr>
          <w:rFonts w:ascii="Times New Roman" w:eastAsia="Times New Roman" w:hAnsi="Times New Roman" w:cs="Times New Roman"/>
          <w:b/>
        </w:rPr>
        <w:t>Formalidad e informalidad en el sector empresarial</w:t>
      </w:r>
    </w:p>
    <w:p w14:paraId="3A55AFEE" w14:textId="77777777" w:rsidR="00C928E4" w:rsidRDefault="00C2041E">
      <w:pPr>
        <w:numPr>
          <w:ilvl w:val="0"/>
          <w:numId w:val="1"/>
        </w:numPr>
        <w:spacing w:line="276" w:lineRule="auto"/>
        <w:jc w:val="both"/>
        <w:rPr>
          <w:rFonts w:ascii="Times New Roman" w:eastAsia="Times New Roman" w:hAnsi="Times New Roman" w:cs="Times New Roman"/>
          <w:b/>
        </w:rPr>
      </w:pPr>
      <w:r>
        <w:rPr>
          <w:rFonts w:ascii="Times New Roman" w:eastAsia="Times New Roman" w:hAnsi="Times New Roman" w:cs="Times New Roman"/>
          <w:b/>
        </w:rPr>
        <w:t>Programas distritales para la formalización empresarial</w:t>
      </w:r>
    </w:p>
    <w:p w14:paraId="044B2398" w14:textId="77777777" w:rsidR="00C928E4" w:rsidRDefault="00C2041E">
      <w:pPr>
        <w:numPr>
          <w:ilvl w:val="0"/>
          <w:numId w:val="1"/>
        </w:numPr>
        <w:spacing w:after="240" w:line="276" w:lineRule="auto"/>
        <w:jc w:val="both"/>
        <w:rPr>
          <w:rFonts w:ascii="Times New Roman" w:eastAsia="Times New Roman" w:hAnsi="Times New Roman" w:cs="Times New Roman"/>
          <w:b/>
        </w:rPr>
      </w:pPr>
      <w:r>
        <w:rPr>
          <w:rFonts w:ascii="Times New Roman" w:eastAsia="Times New Roman" w:hAnsi="Times New Roman" w:cs="Times New Roman"/>
          <w:b/>
        </w:rPr>
        <w:t>Retos en la formalización de las MiPymes</w:t>
      </w:r>
    </w:p>
    <w:p w14:paraId="51A1216F" w14:textId="77777777" w:rsidR="00C928E4" w:rsidRDefault="00C928E4">
      <w:pPr>
        <w:spacing w:before="240" w:after="240" w:line="276" w:lineRule="auto"/>
        <w:jc w:val="both"/>
        <w:rPr>
          <w:rFonts w:ascii="Times New Roman" w:eastAsia="Times New Roman" w:hAnsi="Times New Roman" w:cs="Times New Roman"/>
          <w:b/>
        </w:rPr>
      </w:pPr>
    </w:p>
    <w:p w14:paraId="2D8C8767" w14:textId="77777777" w:rsidR="00C928E4" w:rsidRDefault="00C2041E">
      <w:pPr>
        <w:numPr>
          <w:ilvl w:val="0"/>
          <w:numId w:val="3"/>
        </w:numPr>
        <w:spacing w:before="240" w:after="240" w:line="276" w:lineRule="auto"/>
        <w:jc w:val="both"/>
        <w:rPr>
          <w:rFonts w:ascii="Times New Roman" w:eastAsia="Times New Roman" w:hAnsi="Times New Roman" w:cs="Times New Roman"/>
          <w:b/>
        </w:rPr>
      </w:pPr>
      <w:r>
        <w:rPr>
          <w:rFonts w:ascii="Times New Roman" w:eastAsia="Times New Roman" w:hAnsi="Times New Roman" w:cs="Times New Roman"/>
          <w:b/>
        </w:rPr>
        <w:t>Introducción</w:t>
      </w:r>
    </w:p>
    <w:p w14:paraId="0333395D"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El proyecto de acuerdo busca implementar el programa “Escalera de la Formalidad” en el Distrito Capital, con el propósito de promover la formalización de manera escalonada y gradual de las micro, pequeñas y medianas empresas (MiPymes) que actualmente se encuentran en la informalidad en la ciudad de Bogotá.</w:t>
      </w:r>
    </w:p>
    <w:p w14:paraId="5F2C4813"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La informalidad empresarial se ha convertido en un fenómeno estructural que afecta de manera significativa la economía nacional. Un alto porcentaje de micro, pequeñas y medianas empresas, como se mostrará a continuación, operan fuera del marco legal, lo que repercute negativamente en la recaudación tributaria, el acceso al financiamiento y la protección social de los trabajadores. Además de los desafíos inherentes a la informalidad de los trabajadores, subyace una problemática crucial en torno a las barreras existentes en la formalización empresarial. Estas barreras se manifiestan en forma de burocracia excesiva como son los altos costos administrativos y cargas tributarias que, sumado a la falta de incentivos y apoyos institucionales, desmotivan a los emprendedores a regularizar sus negocios.</w:t>
      </w:r>
    </w:p>
    <w:p w14:paraId="40D5EFF3"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En este contexto, resulta fundamental analizar no solo las causas de la informalidad, sino también las dificultades estructurales que impiden una transición efectiva hacia la formalidad, para poder proponer estrategias que fomenten un ambiente empresarial más equitativo y competitivo. Además, es importante destacar que las barreras de formalización no solo afectan a las empresas, sino que también repercute en el desarrollo socioeconómico del país. La falta de un marco accesible y eficiente para formalizar negocios limita la innovación y la competitividad, ya que muchos emprendedores se ven forzados a operar en la informalidad, perdiendo la oportunidad de acceder a créditos, asesorías y beneficios fiscales. Esto genera un círculo vicioso en el que la economía formal se ve debilitada y el tejido empresarial se fragmenta, dificultando la implementación de políticas públicas efectivas para el desarrollo sostenible y la reducción de la desigualdad.</w:t>
      </w:r>
    </w:p>
    <w:p w14:paraId="6A630F19" w14:textId="77777777" w:rsidR="00C928E4" w:rsidRDefault="00C2041E">
      <w:pPr>
        <w:numPr>
          <w:ilvl w:val="0"/>
          <w:numId w:val="3"/>
        </w:numPr>
        <w:spacing w:before="240" w:after="240" w:line="276" w:lineRule="auto"/>
        <w:jc w:val="both"/>
        <w:rPr>
          <w:rFonts w:ascii="Times New Roman" w:eastAsia="Times New Roman" w:hAnsi="Times New Roman" w:cs="Times New Roman"/>
          <w:b/>
        </w:rPr>
      </w:pPr>
      <w:r>
        <w:rPr>
          <w:rFonts w:ascii="Times New Roman" w:eastAsia="Times New Roman" w:hAnsi="Times New Roman" w:cs="Times New Roman"/>
          <w:b/>
        </w:rPr>
        <w:t>Definición de empresa micro, pequeña y Mediana (MiPymes)</w:t>
      </w:r>
    </w:p>
    <w:p w14:paraId="75471968"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En el ámbito económico y jurídico, las micro, pequeñas y medianas empresas (MiPymes) constituyen un pilar fundamental del desarrollo productivo. Estas unidades empresariales, gestionadas por personas naturales o jurídicas, abarcan actividades de índole empresarial, agropecuaria, industrial, comercial y de servicios, tanto en zonas rurales como urbanas.</w:t>
      </w:r>
    </w:p>
    <w:p w14:paraId="43A69721"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 xml:space="preserve">La </w:t>
      </w:r>
      <w:r>
        <w:rPr>
          <w:rFonts w:ascii="Times New Roman" w:eastAsia="Times New Roman" w:hAnsi="Times New Roman" w:cs="Times New Roman"/>
          <w:i/>
        </w:rPr>
        <w:t>Ley 905 de 2004</w:t>
      </w:r>
      <w:r>
        <w:rPr>
          <w:rFonts w:ascii="Times New Roman" w:eastAsia="Times New Roman" w:hAnsi="Times New Roman" w:cs="Times New Roman"/>
        </w:rPr>
        <w:t xml:space="preserve"> que modificó la </w:t>
      </w:r>
      <w:r>
        <w:rPr>
          <w:rFonts w:ascii="Times New Roman" w:eastAsia="Times New Roman" w:hAnsi="Times New Roman" w:cs="Times New Roman"/>
          <w:i/>
        </w:rPr>
        <w:t>Ley 590 de 2000</w:t>
      </w:r>
      <w:r>
        <w:rPr>
          <w:rFonts w:ascii="Times New Roman" w:eastAsia="Times New Roman" w:hAnsi="Times New Roman" w:cs="Times New Roman"/>
        </w:rPr>
        <w:t xml:space="preserve"> en su artículo 2, establece los criterios para clasificar a una empresa como MiPyme con base en dos parámetros esenciales los cuales son (i) el número de trabajadores y (ii) el valor de sus activos totales. Conforme a esta normativa, se definen de la siguiente manera: </w:t>
      </w:r>
    </w:p>
    <w:p w14:paraId="690099A3" w14:textId="77777777" w:rsidR="00C928E4" w:rsidRDefault="00C2041E">
      <w:pPr>
        <w:numPr>
          <w:ilvl w:val="0"/>
          <w:numId w:val="2"/>
        </w:numPr>
        <w:spacing w:before="240" w:line="276" w:lineRule="auto"/>
        <w:jc w:val="both"/>
        <w:rPr>
          <w:rFonts w:ascii="Times New Roman" w:eastAsia="Times New Roman" w:hAnsi="Times New Roman" w:cs="Times New Roman"/>
          <w:i/>
          <w:sz w:val="22"/>
          <w:szCs w:val="22"/>
        </w:rPr>
      </w:pPr>
      <w:r>
        <w:rPr>
          <w:rFonts w:ascii="Times New Roman" w:eastAsia="Times New Roman" w:hAnsi="Times New Roman" w:cs="Times New Roman"/>
          <w:b/>
          <w:i/>
        </w:rPr>
        <w:t>Mediana Empresa</w:t>
      </w:r>
      <w:r>
        <w:rPr>
          <w:rFonts w:ascii="Times New Roman" w:eastAsia="Times New Roman" w:hAnsi="Times New Roman" w:cs="Times New Roman"/>
          <w:i/>
        </w:rPr>
        <w:t xml:space="preserve">: a) Planta de personal entre cincuenta y uno (51) y doscientos (200) trabajadores; b) Activos totales por valor entre cinco mil uno (5.001) a treinta mil (30.000) salarios mínimos mensuales vigentes. </w:t>
      </w:r>
    </w:p>
    <w:p w14:paraId="5712FB73" w14:textId="77777777" w:rsidR="00C928E4" w:rsidRDefault="00C2041E">
      <w:pPr>
        <w:numPr>
          <w:ilvl w:val="0"/>
          <w:numId w:val="2"/>
        </w:numPr>
        <w:spacing w:line="276" w:lineRule="auto"/>
        <w:jc w:val="both"/>
        <w:rPr>
          <w:rFonts w:ascii="Times New Roman" w:eastAsia="Times New Roman" w:hAnsi="Times New Roman" w:cs="Times New Roman"/>
          <w:i/>
          <w:sz w:val="22"/>
          <w:szCs w:val="22"/>
        </w:rPr>
      </w:pPr>
      <w:r>
        <w:rPr>
          <w:rFonts w:ascii="Times New Roman" w:eastAsia="Times New Roman" w:hAnsi="Times New Roman" w:cs="Times New Roman"/>
          <w:b/>
          <w:i/>
        </w:rPr>
        <w:t>Pequeña Empresa:</w:t>
      </w:r>
      <w:r>
        <w:rPr>
          <w:rFonts w:ascii="Times New Roman" w:eastAsia="Times New Roman" w:hAnsi="Times New Roman" w:cs="Times New Roman"/>
          <w:i/>
        </w:rPr>
        <w:t xml:space="preserve"> a) Planta de personal entre once (11) y cincuenta (50) trabajadores; b) activos totales por valor entre quinientos uno (501) y menos de cinco mil (5.000) salarios mínimos mensuales legales vigentes.</w:t>
      </w:r>
    </w:p>
    <w:p w14:paraId="0E454093" w14:textId="77777777" w:rsidR="00C928E4" w:rsidRDefault="00C2041E">
      <w:pPr>
        <w:numPr>
          <w:ilvl w:val="0"/>
          <w:numId w:val="2"/>
        </w:numPr>
        <w:spacing w:after="240" w:line="276" w:lineRule="auto"/>
        <w:jc w:val="both"/>
        <w:rPr>
          <w:rFonts w:ascii="Times New Roman" w:eastAsia="Times New Roman" w:hAnsi="Times New Roman" w:cs="Times New Roman"/>
          <w:i/>
        </w:rPr>
      </w:pPr>
      <w:r>
        <w:rPr>
          <w:rFonts w:ascii="Times New Roman" w:eastAsia="Times New Roman" w:hAnsi="Times New Roman" w:cs="Times New Roman"/>
          <w:b/>
          <w:i/>
        </w:rPr>
        <w:t>Microempresa:</w:t>
      </w:r>
      <w:r>
        <w:rPr>
          <w:rFonts w:ascii="Times New Roman" w:eastAsia="Times New Roman" w:hAnsi="Times New Roman" w:cs="Times New Roman"/>
          <w:i/>
        </w:rPr>
        <w:t xml:space="preserve"> a) Planta de personal no superior a los diez (10) trabajadores; b) activos totales excluida la vivienda por valor inferior a quinientos (500) salarios mínimos mensuales legales vigentes.</w:t>
      </w:r>
    </w:p>
    <w:p w14:paraId="11CAFA0F"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Las MiPymes constituyen elementos estratégicos para la estructura económica del país. En términos técnicos, cada microempresa representa el inicio de una actividad productiva basada en procesos simplificados y estructuras organizativas reducidas; cada pequeña empresa evidencia la consolidación de operaciones con una base laboral y patrimonial intermedias; y cada mediana empresa se configura como una entidad de mayor complejidad organizacional y capacidad de inversión, orientada hacia la diversificación y modernización de la oferta productiva. En conjunto, estas empresas contribuyen de manera significativa a la generación de empleo, la dinamización de sectores clave y la ampliación de la base tributaria, lo cual resulta indispensable para la implementación de políticas públicas orientadas hacia un crecimiento económico sostenible y equitativo.</w:t>
      </w:r>
    </w:p>
    <w:p w14:paraId="32E7BCD5" w14:textId="77777777" w:rsidR="00C928E4" w:rsidRDefault="00C928E4">
      <w:pPr>
        <w:spacing w:before="240" w:after="240" w:line="276" w:lineRule="auto"/>
        <w:jc w:val="both"/>
        <w:rPr>
          <w:rFonts w:ascii="Times New Roman" w:eastAsia="Times New Roman" w:hAnsi="Times New Roman" w:cs="Times New Roman"/>
        </w:rPr>
      </w:pPr>
    </w:p>
    <w:p w14:paraId="7F4417BC" w14:textId="77777777" w:rsidR="00C928E4" w:rsidRDefault="00C2041E">
      <w:pPr>
        <w:numPr>
          <w:ilvl w:val="0"/>
          <w:numId w:val="3"/>
        </w:numPr>
        <w:spacing w:before="240" w:after="240" w:line="276" w:lineRule="auto"/>
        <w:jc w:val="both"/>
        <w:rPr>
          <w:rFonts w:ascii="Times New Roman" w:eastAsia="Times New Roman" w:hAnsi="Times New Roman" w:cs="Times New Roman"/>
          <w:b/>
        </w:rPr>
      </w:pPr>
      <w:r>
        <w:rPr>
          <w:rFonts w:ascii="Times New Roman" w:eastAsia="Times New Roman" w:hAnsi="Times New Roman" w:cs="Times New Roman"/>
          <w:b/>
        </w:rPr>
        <w:t>Estado actual de las MiPymes en el Distrito Capital</w:t>
      </w:r>
    </w:p>
    <w:p w14:paraId="724F77C3"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El estado actual de las MiPymes en Bogotá refleja una dinámica empresarial en constante evolución, con un crecimiento sostenido en la cantidad de empresas registradas. Según el último informe del Observatorio de Desarrollo Económico de Bogotá</w:t>
      </w:r>
      <w:r>
        <w:rPr>
          <w:rFonts w:ascii="Times New Roman" w:eastAsia="Times New Roman" w:hAnsi="Times New Roman" w:cs="Times New Roman"/>
          <w:vertAlign w:val="superscript"/>
        </w:rPr>
        <w:footnoteReference w:id="1"/>
      </w:r>
      <w:r>
        <w:rPr>
          <w:rFonts w:ascii="Times New Roman" w:eastAsia="Times New Roman" w:hAnsi="Times New Roman" w:cs="Times New Roman"/>
        </w:rPr>
        <w:t xml:space="preserve">, en febrero de 2025 se reportaron </w:t>
      </w:r>
      <w:r>
        <w:rPr>
          <w:rFonts w:ascii="Times New Roman" w:eastAsia="Times New Roman" w:hAnsi="Times New Roman" w:cs="Times New Roman"/>
          <w:b/>
        </w:rPr>
        <w:t>444.163 empresas con matrícula activa y vigente</w:t>
      </w:r>
      <w:r>
        <w:rPr>
          <w:rFonts w:ascii="Times New Roman" w:eastAsia="Times New Roman" w:hAnsi="Times New Roman" w:cs="Times New Roman"/>
        </w:rPr>
        <w:t xml:space="preserve"> en la ciudad. De este total, las </w:t>
      </w:r>
      <w:r>
        <w:rPr>
          <w:rFonts w:ascii="Times New Roman" w:eastAsia="Times New Roman" w:hAnsi="Times New Roman" w:cs="Times New Roman"/>
          <w:b/>
        </w:rPr>
        <w:t>microempresas</w:t>
      </w:r>
      <w:r>
        <w:rPr>
          <w:rFonts w:ascii="Times New Roman" w:eastAsia="Times New Roman" w:hAnsi="Times New Roman" w:cs="Times New Roman"/>
        </w:rPr>
        <w:t xml:space="preserve"> representan la mayor proporción, con </w:t>
      </w:r>
      <w:r>
        <w:rPr>
          <w:rFonts w:ascii="Times New Roman" w:eastAsia="Times New Roman" w:hAnsi="Times New Roman" w:cs="Times New Roman"/>
          <w:b/>
        </w:rPr>
        <w:t xml:space="preserve">412.134 registros </w:t>
      </w:r>
      <w:r>
        <w:rPr>
          <w:rFonts w:ascii="Times New Roman" w:eastAsia="Times New Roman" w:hAnsi="Times New Roman" w:cs="Times New Roman"/>
          <w:u w:val="single"/>
        </w:rPr>
        <w:t>(92,79%)</w:t>
      </w:r>
      <w:r>
        <w:rPr>
          <w:rFonts w:ascii="Times New Roman" w:eastAsia="Times New Roman" w:hAnsi="Times New Roman" w:cs="Times New Roman"/>
        </w:rPr>
        <w:t xml:space="preserve">, seguidas por las </w:t>
      </w:r>
      <w:r>
        <w:rPr>
          <w:rFonts w:ascii="Times New Roman" w:eastAsia="Times New Roman" w:hAnsi="Times New Roman" w:cs="Times New Roman"/>
          <w:b/>
        </w:rPr>
        <w:t xml:space="preserve">pequeñas empresas </w:t>
      </w:r>
      <w:r>
        <w:rPr>
          <w:rFonts w:ascii="Times New Roman" w:eastAsia="Times New Roman" w:hAnsi="Times New Roman" w:cs="Times New Roman"/>
          <w:u w:val="single"/>
        </w:rPr>
        <w:t>(5.09%)</w:t>
      </w:r>
      <w:r>
        <w:rPr>
          <w:rFonts w:ascii="Times New Roman" w:eastAsia="Times New Roman" w:hAnsi="Times New Roman" w:cs="Times New Roman"/>
        </w:rPr>
        <w:t xml:space="preserve">, que suman </w:t>
      </w:r>
      <w:r>
        <w:rPr>
          <w:rFonts w:ascii="Times New Roman" w:eastAsia="Times New Roman" w:hAnsi="Times New Roman" w:cs="Times New Roman"/>
          <w:b/>
        </w:rPr>
        <w:t>22.626</w:t>
      </w:r>
      <w:r>
        <w:rPr>
          <w:rFonts w:ascii="Times New Roman" w:eastAsia="Times New Roman" w:hAnsi="Times New Roman" w:cs="Times New Roman"/>
        </w:rPr>
        <w:t xml:space="preserve">. En cuanto a las </w:t>
      </w:r>
      <w:r>
        <w:rPr>
          <w:rFonts w:ascii="Times New Roman" w:eastAsia="Times New Roman" w:hAnsi="Times New Roman" w:cs="Times New Roman"/>
          <w:b/>
        </w:rPr>
        <w:t>medianas empresas</w:t>
      </w:r>
      <w:r>
        <w:rPr>
          <w:rFonts w:ascii="Times New Roman" w:eastAsia="Times New Roman" w:hAnsi="Times New Roman" w:cs="Times New Roman"/>
        </w:rPr>
        <w:t xml:space="preserve">, el número asciende a </w:t>
      </w:r>
      <w:r>
        <w:rPr>
          <w:rFonts w:ascii="Times New Roman" w:eastAsia="Times New Roman" w:hAnsi="Times New Roman" w:cs="Times New Roman"/>
          <w:b/>
        </w:rPr>
        <w:t xml:space="preserve">6.305 </w:t>
      </w:r>
      <w:r>
        <w:rPr>
          <w:rFonts w:ascii="Times New Roman" w:eastAsia="Times New Roman" w:hAnsi="Times New Roman" w:cs="Times New Roman"/>
          <w:u w:val="single"/>
        </w:rPr>
        <w:t>(1.42%)</w:t>
      </w:r>
      <w:r>
        <w:rPr>
          <w:rFonts w:ascii="Times New Roman" w:eastAsia="Times New Roman" w:hAnsi="Times New Roman" w:cs="Times New Roman"/>
        </w:rPr>
        <w:t xml:space="preserve">, mientras que las </w:t>
      </w:r>
      <w:r>
        <w:rPr>
          <w:rFonts w:ascii="Times New Roman" w:eastAsia="Times New Roman" w:hAnsi="Times New Roman" w:cs="Times New Roman"/>
          <w:b/>
        </w:rPr>
        <w:t>grandes empresas</w:t>
      </w:r>
      <w:r>
        <w:rPr>
          <w:rFonts w:ascii="Times New Roman" w:eastAsia="Times New Roman" w:hAnsi="Times New Roman" w:cs="Times New Roman"/>
        </w:rPr>
        <w:t xml:space="preserve"> alcanzan un total de </w:t>
      </w:r>
      <w:r>
        <w:rPr>
          <w:rFonts w:ascii="Times New Roman" w:eastAsia="Times New Roman" w:hAnsi="Times New Roman" w:cs="Times New Roman"/>
          <w:b/>
        </w:rPr>
        <w:t xml:space="preserve">3.097 </w:t>
      </w:r>
      <w:r>
        <w:rPr>
          <w:rFonts w:ascii="Times New Roman" w:eastAsia="Times New Roman" w:hAnsi="Times New Roman" w:cs="Times New Roman"/>
          <w:u w:val="single"/>
        </w:rPr>
        <w:t>(1,42%)</w:t>
      </w:r>
      <w:r>
        <w:rPr>
          <w:rFonts w:ascii="Times New Roman" w:eastAsia="Times New Roman" w:hAnsi="Times New Roman" w:cs="Times New Roman"/>
        </w:rPr>
        <w:t>.</w:t>
      </w:r>
      <w:r>
        <w:rPr>
          <w:rFonts w:ascii="Times New Roman" w:eastAsia="Times New Roman" w:hAnsi="Times New Roman" w:cs="Times New Roman"/>
          <w:vertAlign w:val="superscript"/>
        </w:rPr>
        <w:footnoteReference w:id="2"/>
      </w:r>
      <w:r>
        <w:rPr>
          <w:rFonts w:ascii="Times New Roman" w:eastAsia="Times New Roman" w:hAnsi="Times New Roman" w:cs="Times New Roman"/>
        </w:rPr>
        <w:t xml:space="preserve"> </w:t>
      </w:r>
    </w:p>
    <w:p w14:paraId="6DB26667" w14:textId="77777777" w:rsidR="00C928E4" w:rsidRDefault="00C2041E">
      <w:pPr>
        <w:spacing w:before="240" w:after="240" w:line="276" w:lineRule="auto"/>
        <w:jc w:val="center"/>
        <w:rPr>
          <w:rFonts w:ascii="Times New Roman" w:eastAsia="Times New Roman" w:hAnsi="Times New Roman" w:cs="Times New Roman"/>
          <w:b/>
        </w:rPr>
      </w:pPr>
      <w:r>
        <w:rPr>
          <w:rFonts w:ascii="Times New Roman" w:eastAsia="Times New Roman" w:hAnsi="Times New Roman" w:cs="Times New Roman"/>
          <w:b/>
        </w:rPr>
        <w:t>Distribución de Empresas en Bogotá (Febrero 2025)</w:t>
      </w:r>
    </w:p>
    <w:tbl>
      <w:tblPr>
        <w:tblStyle w:val="a4"/>
        <w:tblpPr w:leftFromText="180" w:rightFromText="180" w:topFromText="180" w:bottomFromText="180" w:vertAnchor="text" w:tblpX="1614"/>
        <w:tblW w:w="598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2190"/>
        <w:gridCol w:w="1920"/>
        <w:gridCol w:w="1875"/>
      </w:tblGrid>
      <w:tr w:rsidR="00C928E4" w14:paraId="45D1F57C" w14:textId="77777777">
        <w:trPr>
          <w:trHeight w:val="315"/>
        </w:trPr>
        <w:tc>
          <w:tcPr>
            <w:tcW w:w="2190" w:type="dxa"/>
            <w:tcBorders>
              <w:top w:val="single" w:sz="4" w:space="0" w:color="284E3F"/>
              <w:left w:val="single" w:sz="4" w:space="0" w:color="284E3F"/>
              <w:bottom w:val="single" w:sz="4" w:space="0" w:color="000000"/>
              <w:right w:val="single" w:sz="4" w:space="0" w:color="356854"/>
            </w:tcBorders>
            <w:shd w:val="clear" w:color="auto" w:fill="356854"/>
            <w:tcMar>
              <w:top w:w="40" w:type="dxa"/>
              <w:left w:w="120" w:type="dxa"/>
              <w:bottom w:w="40" w:type="dxa"/>
              <w:right w:w="120" w:type="dxa"/>
            </w:tcMar>
            <w:vAlign w:val="center"/>
          </w:tcPr>
          <w:p w14:paraId="700F7347" w14:textId="77777777" w:rsidR="00C928E4" w:rsidRDefault="00C2041E">
            <w:pPr>
              <w:widowControl w:val="0"/>
              <w:spacing w:line="276" w:lineRule="auto"/>
              <w:rPr>
                <w:sz w:val="20"/>
                <w:szCs w:val="20"/>
              </w:rPr>
            </w:pPr>
            <w:r>
              <w:rPr>
                <w:rFonts w:ascii="Roboto" w:eastAsia="Roboto" w:hAnsi="Roboto" w:cs="Roboto"/>
                <w:color w:val="FFFFFF"/>
                <w:sz w:val="20"/>
                <w:szCs w:val="20"/>
              </w:rPr>
              <w:t>TIPO DE EMPRESA</w:t>
            </w:r>
          </w:p>
        </w:tc>
        <w:tc>
          <w:tcPr>
            <w:tcW w:w="1920" w:type="dxa"/>
            <w:tcBorders>
              <w:top w:val="single" w:sz="4" w:space="0" w:color="284E3F"/>
              <w:left w:val="single" w:sz="4" w:space="0" w:color="356854"/>
              <w:bottom w:val="single" w:sz="4" w:space="0" w:color="000000"/>
              <w:right w:val="single" w:sz="4" w:space="0" w:color="356854"/>
            </w:tcBorders>
            <w:shd w:val="clear" w:color="auto" w:fill="356854"/>
            <w:tcMar>
              <w:top w:w="40" w:type="dxa"/>
              <w:left w:w="120" w:type="dxa"/>
              <w:bottom w:w="40" w:type="dxa"/>
              <w:right w:w="120" w:type="dxa"/>
            </w:tcMar>
            <w:vAlign w:val="center"/>
          </w:tcPr>
          <w:p w14:paraId="1BC6605C" w14:textId="77777777" w:rsidR="00C928E4" w:rsidRDefault="00C2041E">
            <w:pPr>
              <w:widowControl w:val="0"/>
              <w:spacing w:line="276" w:lineRule="auto"/>
              <w:rPr>
                <w:sz w:val="20"/>
                <w:szCs w:val="20"/>
              </w:rPr>
            </w:pPr>
            <w:r>
              <w:rPr>
                <w:rFonts w:ascii="Roboto" w:eastAsia="Roboto" w:hAnsi="Roboto" w:cs="Roboto"/>
                <w:color w:val="FFFFFF"/>
                <w:sz w:val="20"/>
                <w:szCs w:val="20"/>
              </w:rPr>
              <w:t>CANTIDAD</w:t>
            </w:r>
          </w:p>
        </w:tc>
        <w:tc>
          <w:tcPr>
            <w:tcW w:w="1875" w:type="dxa"/>
            <w:tcBorders>
              <w:top w:val="single" w:sz="4" w:space="0" w:color="284E3F"/>
              <w:left w:val="single" w:sz="4" w:space="0" w:color="356854"/>
              <w:bottom w:val="single" w:sz="4" w:space="0" w:color="000000"/>
              <w:right w:val="single" w:sz="4" w:space="0" w:color="284E3F"/>
            </w:tcBorders>
            <w:shd w:val="clear" w:color="auto" w:fill="356854"/>
            <w:tcMar>
              <w:top w:w="40" w:type="dxa"/>
              <w:left w:w="120" w:type="dxa"/>
              <w:bottom w:w="40" w:type="dxa"/>
              <w:right w:w="120" w:type="dxa"/>
            </w:tcMar>
            <w:vAlign w:val="center"/>
          </w:tcPr>
          <w:p w14:paraId="246B5CC0" w14:textId="77777777" w:rsidR="00C928E4" w:rsidRDefault="00C2041E">
            <w:pPr>
              <w:widowControl w:val="0"/>
              <w:spacing w:line="276" w:lineRule="auto"/>
              <w:rPr>
                <w:sz w:val="20"/>
                <w:szCs w:val="20"/>
              </w:rPr>
            </w:pPr>
            <w:r>
              <w:rPr>
                <w:rFonts w:ascii="Roboto" w:eastAsia="Roboto" w:hAnsi="Roboto" w:cs="Roboto"/>
                <w:color w:val="FFFFFF"/>
                <w:sz w:val="20"/>
                <w:szCs w:val="20"/>
              </w:rPr>
              <w:t>PORCENTAJE</w:t>
            </w:r>
          </w:p>
        </w:tc>
      </w:tr>
      <w:tr w:rsidR="00C928E4" w14:paraId="6681581F" w14:textId="77777777">
        <w:trPr>
          <w:trHeight w:val="315"/>
        </w:trPr>
        <w:tc>
          <w:tcPr>
            <w:tcW w:w="2190" w:type="dxa"/>
            <w:tcBorders>
              <w:top w:val="single" w:sz="4" w:space="0" w:color="000000"/>
              <w:left w:val="single" w:sz="4" w:space="0" w:color="000000"/>
              <w:bottom w:val="single" w:sz="4" w:space="0" w:color="000000"/>
              <w:right w:val="single" w:sz="4" w:space="0" w:color="000000"/>
            </w:tcBorders>
            <w:shd w:val="clear" w:color="auto" w:fill="FFFFFF"/>
            <w:tcMar>
              <w:top w:w="40" w:type="dxa"/>
              <w:left w:w="120" w:type="dxa"/>
              <w:bottom w:w="40" w:type="dxa"/>
              <w:right w:w="120" w:type="dxa"/>
            </w:tcMar>
            <w:vAlign w:val="center"/>
          </w:tcPr>
          <w:p w14:paraId="22C377AE" w14:textId="77777777" w:rsidR="00C928E4" w:rsidRDefault="00C2041E">
            <w:pPr>
              <w:widowControl w:val="0"/>
              <w:spacing w:line="276" w:lineRule="auto"/>
              <w:rPr>
                <w:sz w:val="20"/>
                <w:szCs w:val="20"/>
              </w:rPr>
            </w:pPr>
            <w:r>
              <w:rPr>
                <w:rFonts w:ascii="Roboto" w:eastAsia="Roboto" w:hAnsi="Roboto" w:cs="Roboto"/>
                <w:color w:val="434343"/>
                <w:sz w:val="20"/>
                <w:szCs w:val="20"/>
              </w:rPr>
              <w:t>Microempresas</w:t>
            </w:r>
          </w:p>
        </w:tc>
        <w:tc>
          <w:tcPr>
            <w:tcW w:w="1920" w:type="dxa"/>
            <w:tcBorders>
              <w:top w:val="single" w:sz="4" w:space="0" w:color="000000"/>
              <w:left w:val="single" w:sz="4" w:space="0" w:color="000000"/>
              <w:bottom w:val="single" w:sz="4" w:space="0" w:color="000000"/>
              <w:right w:val="single" w:sz="4" w:space="0" w:color="000000"/>
            </w:tcBorders>
            <w:shd w:val="clear" w:color="auto" w:fill="FFFFFF"/>
            <w:tcMar>
              <w:top w:w="40" w:type="dxa"/>
              <w:left w:w="120" w:type="dxa"/>
              <w:bottom w:w="40" w:type="dxa"/>
              <w:right w:w="120" w:type="dxa"/>
            </w:tcMar>
            <w:vAlign w:val="center"/>
          </w:tcPr>
          <w:p w14:paraId="3FD31BB0" w14:textId="77777777" w:rsidR="00C928E4" w:rsidRDefault="00C2041E">
            <w:pPr>
              <w:widowControl w:val="0"/>
              <w:spacing w:line="276" w:lineRule="auto"/>
              <w:jc w:val="right"/>
              <w:rPr>
                <w:sz w:val="20"/>
                <w:szCs w:val="20"/>
              </w:rPr>
            </w:pPr>
            <w:r>
              <w:rPr>
                <w:rFonts w:ascii="Roboto" w:eastAsia="Roboto" w:hAnsi="Roboto" w:cs="Roboto"/>
                <w:color w:val="434343"/>
                <w:sz w:val="20"/>
                <w:szCs w:val="20"/>
              </w:rPr>
              <w:t>412.134</w:t>
            </w:r>
          </w:p>
        </w:tc>
        <w:tc>
          <w:tcPr>
            <w:tcW w:w="1875" w:type="dxa"/>
            <w:tcBorders>
              <w:top w:val="single" w:sz="4" w:space="0" w:color="000000"/>
              <w:left w:val="single" w:sz="4" w:space="0" w:color="000000"/>
              <w:bottom w:val="single" w:sz="4" w:space="0" w:color="000000"/>
              <w:right w:val="single" w:sz="4" w:space="0" w:color="000000"/>
            </w:tcBorders>
            <w:shd w:val="clear" w:color="auto" w:fill="FFFFFF"/>
            <w:tcMar>
              <w:top w:w="40" w:type="dxa"/>
              <w:left w:w="120" w:type="dxa"/>
              <w:bottom w:w="40" w:type="dxa"/>
              <w:right w:w="120" w:type="dxa"/>
            </w:tcMar>
            <w:vAlign w:val="center"/>
          </w:tcPr>
          <w:p w14:paraId="20DA01BC" w14:textId="77777777" w:rsidR="00C928E4" w:rsidRDefault="00C2041E">
            <w:pPr>
              <w:widowControl w:val="0"/>
              <w:spacing w:line="276" w:lineRule="auto"/>
              <w:jc w:val="right"/>
              <w:rPr>
                <w:sz w:val="20"/>
                <w:szCs w:val="20"/>
              </w:rPr>
            </w:pPr>
            <w:r>
              <w:rPr>
                <w:rFonts w:ascii="Roboto" w:eastAsia="Roboto" w:hAnsi="Roboto" w:cs="Roboto"/>
                <w:color w:val="434343"/>
                <w:sz w:val="20"/>
                <w:szCs w:val="20"/>
              </w:rPr>
              <w:t>92.79%</w:t>
            </w:r>
          </w:p>
        </w:tc>
      </w:tr>
      <w:tr w:rsidR="00C928E4" w14:paraId="4E5DA807" w14:textId="77777777">
        <w:trPr>
          <w:trHeight w:val="315"/>
        </w:trPr>
        <w:tc>
          <w:tcPr>
            <w:tcW w:w="2190" w:type="dxa"/>
            <w:tcBorders>
              <w:top w:val="single" w:sz="4" w:space="0" w:color="000000"/>
              <w:left w:val="single" w:sz="4" w:space="0" w:color="000000"/>
              <w:bottom w:val="single" w:sz="4" w:space="0" w:color="000000"/>
              <w:right w:val="single" w:sz="4" w:space="0" w:color="000000"/>
            </w:tcBorders>
            <w:shd w:val="clear" w:color="auto" w:fill="F6F8F9"/>
            <w:tcMar>
              <w:top w:w="40" w:type="dxa"/>
              <w:left w:w="120" w:type="dxa"/>
              <w:bottom w:w="40" w:type="dxa"/>
              <w:right w:w="120" w:type="dxa"/>
            </w:tcMar>
            <w:vAlign w:val="center"/>
          </w:tcPr>
          <w:p w14:paraId="0B1E7A67" w14:textId="77777777" w:rsidR="00C928E4" w:rsidRDefault="00C2041E">
            <w:pPr>
              <w:widowControl w:val="0"/>
              <w:spacing w:line="276" w:lineRule="auto"/>
              <w:rPr>
                <w:sz w:val="20"/>
                <w:szCs w:val="20"/>
              </w:rPr>
            </w:pPr>
            <w:r>
              <w:rPr>
                <w:rFonts w:ascii="Roboto" w:eastAsia="Roboto" w:hAnsi="Roboto" w:cs="Roboto"/>
                <w:color w:val="434343"/>
                <w:sz w:val="20"/>
                <w:szCs w:val="20"/>
              </w:rPr>
              <w:t>Pequeñas empresas</w:t>
            </w:r>
          </w:p>
        </w:tc>
        <w:tc>
          <w:tcPr>
            <w:tcW w:w="1920" w:type="dxa"/>
            <w:tcBorders>
              <w:top w:val="single" w:sz="4" w:space="0" w:color="000000"/>
              <w:left w:val="single" w:sz="4" w:space="0" w:color="000000"/>
              <w:bottom w:val="single" w:sz="4" w:space="0" w:color="000000"/>
              <w:right w:val="single" w:sz="4" w:space="0" w:color="000000"/>
            </w:tcBorders>
            <w:shd w:val="clear" w:color="auto" w:fill="F6F8F9"/>
            <w:tcMar>
              <w:top w:w="40" w:type="dxa"/>
              <w:left w:w="120" w:type="dxa"/>
              <w:bottom w:w="40" w:type="dxa"/>
              <w:right w:w="120" w:type="dxa"/>
            </w:tcMar>
            <w:vAlign w:val="center"/>
          </w:tcPr>
          <w:p w14:paraId="2B4A6C6E" w14:textId="77777777" w:rsidR="00C928E4" w:rsidRDefault="00C2041E">
            <w:pPr>
              <w:widowControl w:val="0"/>
              <w:spacing w:line="276" w:lineRule="auto"/>
              <w:jc w:val="right"/>
              <w:rPr>
                <w:sz w:val="20"/>
                <w:szCs w:val="20"/>
              </w:rPr>
            </w:pPr>
            <w:r>
              <w:rPr>
                <w:rFonts w:ascii="Roboto" w:eastAsia="Roboto" w:hAnsi="Roboto" w:cs="Roboto"/>
                <w:color w:val="434343"/>
                <w:sz w:val="20"/>
                <w:szCs w:val="20"/>
              </w:rPr>
              <w:t>22.626</w:t>
            </w:r>
          </w:p>
        </w:tc>
        <w:tc>
          <w:tcPr>
            <w:tcW w:w="1875" w:type="dxa"/>
            <w:tcBorders>
              <w:top w:val="single" w:sz="4" w:space="0" w:color="000000"/>
              <w:left w:val="single" w:sz="4" w:space="0" w:color="000000"/>
              <w:bottom w:val="single" w:sz="4" w:space="0" w:color="000000"/>
              <w:right w:val="single" w:sz="4" w:space="0" w:color="000000"/>
            </w:tcBorders>
            <w:shd w:val="clear" w:color="auto" w:fill="F6F8F9"/>
            <w:tcMar>
              <w:top w:w="40" w:type="dxa"/>
              <w:left w:w="120" w:type="dxa"/>
              <w:bottom w:w="40" w:type="dxa"/>
              <w:right w:w="120" w:type="dxa"/>
            </w:tcMar>
            <w:vAlign w:val="center"/>
          </w:tcPr>
          <w:p w14:paraId="612E757A" w14:textId="77777777" w:rsidR="00C928E4" w:rsidRDefault="00C2041E">
            <w:pPr>
              <w:widowControl w:val="0"/>
              <w:spacing w:line="276" w:lineRule="auto"/>
              <w:jc w:val="right"/>
              <w:rPr>
                <w:sz w:val="20"/>
                <w:szCs w:val="20"/>
              </w:rPr>
            </w:pPr>
            <w:r>
              <w:rPr>
                <w:rFonts w:ascii="Roboto" w:eastAsia="Roboto" w:hAnsi="Roboto" w:cs="Roboto"/>
                <w:color w:val="434343"/>
                <w:sz w:val="20"/>
                <w:szCs w:val="20"/>
              </w:rPr>
              <w:t>5.09%</w:t>
            </w:r>
          </w:p>
        </w:tc>
      </w:tr>
      <w:tr w:rsidR="00C928E4" w14:paraId="47E870E5" w14:textId="77777777">
        <w:trPr>
          <w:trHeight w:val="315"/>
        </w:trPr>
        <w:tc>
          <w:tcPr>
            <w:tcW w:w="2190" w:type="dxa"/>
            <w:tcBorders>
              <w:top w:val="single" w:sz="4" w:space="0" w:color="000000"/>
              <w:left w:val="single" w:sz="4" w:space="0" w:color="000000"/>
              <w:bottom w:val="single" w:sz="4" w:space="0" w:color="000000"/>
              <w:right w:val="single" w:sz="4" w:space="0" w:color="000000"/>
            </w:tcBorders>
            <w:shd w:val="clear" w:color="auto" w:fill="FFFFFF"/>
            <w:tcMar>
              <w:top w:w="40" w:type="dxa"/>
              <w:left w:w="120" w:type="dxa"/>
              <w:bottom w:w="40" w:type="dxa"/>
              <w:right w:w="120" w:type="dxa"/>
            </w:tcMar>
            <w:vAlign w:val="center"/>
          </w:tcPr>
          <w:p w14:paraId="7A040528" w14:textId="77777777" w:rsidR="00C928E4" w:rsidRDefault="00C2041E">
            <w:pPr>
              <w:widowControl w:val="0"/>
              <w:spacing w:line="276" w:lineRule="auto"/>
              <w:rPr>
                <w:sz w:val="20"/>
                <w:szCs w:val="20"/>
              </w:rPr>
            </w:pPr>
            <w:r>
              <w:rPr>
                <w:rFonts w:ascii="Roboto" w:eastAsia="Roboto" w:hAnsi="Roboto" w:cs="Roboto"/>
                <w:color w:val="434343"/>
                <w:sz w:val="20"/>
                <w:szCs w:val="20"/>
              </w:rPr>
              <w:t>Medianas Empresas</w:t>
            </w:r>
          </w:p>
        </w:tc>
        <w:tc>
          <w:tcPr>
            <w:tcW w:w="1920" w:type="dxa"/>
            <w:tcBorders>
              <w:top w:val="single" w:sz="4" w:space="0" w:color="000000"/>
              <w:left w:val="single" w:sz="4" w:space="0" w:color="000000"/>
              <w:bottom w:val="single" w:sz="4" w:space="0" w:color="000000"/>
              <w:right w:val="single" w:sz="4" w:space="0" w:color="000000"/>
            </w:tcBorders>
            <w:shd w:val="clear" w:color="auto" w:fill="FFFFFF"/>
            <w:tcMar>
              <w:top w:w="40" w:type="dxa"/>
              <w:left w:w="120" w:type="dxa"/>
              <w:bottom w:w="40" w:type="dxa"/>
              <w:right w:w="120" w:type="dxa"/>
            </w:tcMar>
            <w:vAlign w:val="center"/>
          </w:tcPr>
          <w:p w14:paraId="0746CFF6" w14:textId="77777777" w:rsidR="00C928E4" w:rsidRDefault="00C2041E">
            <w:pPr>
              <w:widowControl w:val="0"/>
              <w:spacing w:line="276" w:lineRule="auto"/>
              <w:jc w:val="right"/>
              <w:rPr>
                <w:sz w:val="20"/>
                <w:szCs w:val="20"/>
              </w:rPr>
            </w:pPr>
            <w:r>
              <w:rPr>
                <w:rFonts w:ascii="Roboto" w:eastAsia="Roboto" w:hAnsi="Roboto" w:cs="Roboto"/>
                <w:color w:val="434343"/>
                <w:sz w:val="20"/>
                <w:szCs w:val="20"/>
              </w:rPr>
              <w:t>6.305</w:t>
            </w:r>
          </w:p>
        </w:tc>
        <w:tc>
          <w:tcPr>
            <w:tcW w:w="1875" w:type="dxa"/>
            <w:tcBorders>
              <w:top w:val="single" w:sz="4" w:space="0" w:color="000000"/>
              <w:left w:val="single" w:sz="4" w:space="0" w:color="000000"/>
              <w:bottom w:val="single" w:sz="4" w:space="0" w:color="000000"/>
              <w:right w:val="single" w:sz="4" w:space="0" w:color="000000"/>
            </w:tcBorders>
            <w:shd w:val="clear" w:color="auto" w:fill="FFFFFF"/>
            <w:tcMar>
              <w:top w:w="40" w:type="dxa"/>
              <w:left w:w="120" w:type="dxa"/>
              <w:bottom w:w="40" w:type="dxa"/>
              <w:right w:w="120" w:type="dxa"/>
            </w:tcMar>
            <w:vAlign w:val="center"/>
          </w:tcPr>
          <w:p w14:paraId="42A4D0BB" w14:textId="77777777" w:rsidR="00C928E4" w:rsidRDefault="00C2041E">
            <w:pPr>
              <w:widowControl w:val="0"/>
              <w:spacing w:line="276" w:lineRule="auto"/>
              <w:jc w:val="right"/>
              <w:rPr>
                <w:sz w:val="20"/>
                <w:szCs w:val="20"/>
              </w:rPr>
            </w:pPr>
            <w:r>
              <w:rPr>
                <w:rFonts w:ascii="Roboto" w:eastAsia="Roboto" w:hAnsi="Roboto" w:cs="Roboto"/>
                <w:color w:val="434343"/>
                <w:sz w:val="20"/>
                <w:szCs w:val="20"/>
              </w:rPr>
              <w:t>1.42%</w:t>
            </w:r>
          </w:p>
        </w:tc>
      </w:tr>
      <w:tr w:rsidR="00C928E4" w14:paraId="293CD7E2" w14:textId="77777777">
        <w:trPr>
          <w:trHeight w:val="315"/>
        </w:trPr>
        <w:tc>
          <w:tcPr>
            <w:tcW w:w="2190" w:type="dxa"/>
            <w:tcBorders>
              <w:top w:val="single" w:sz="4" w:space="0" w:color="000000"/>
              <w:left w:val="single" w:sz="4" w:space="0" w:color="000000"/>
              <w:bottom w:val="single" w:sz="4" w:space="0" w:color="000000"/>
              <w:right w:val="single" w:sz="4" w:space="0" w:color="000000"/>
            </w:tcBorders>
            <w:shd w:val="clear" w:color="auto" w:fill="F6F8F9"/>
            <w:tcMar>
              <w:top w:w="40" w:type="dxa"/>
              <w:left w:w="120" w:type="dxa"/>
              <w:bottom w:w="40" w:type="dxa"/>
              <w:right w:w="120" w:type="dxa"/>
            </w:tcMar>
            <w:vAlign w:val="center"/>
          </w:tcPr>
          <w:p w14:paraId="3B3FEEAA" w14:textId="77777777" w:rsidR="00C928E4" w:rsidRDefault="00C2041E">
            <w:pPr>
              <w:widowControl w:val="0"/>
              <w:spacing w:line="276" w:lineRule="auto"/>
              <w:rPr>
                <w:sz w:val="20"/>
                <w:szCs w:val="20"/>
              </w:rPr>
            </w:pPr>
            <w:r>
              <w:rPr>
                <w:rFonts w:ascii="Roboto" w:eastAsia="Roboto" w:hAnsi="Roboto" w:cs="Roboto"/>
                <w:color w:val="434343"/>
                <w:sz w:val="20"/>
                <w:szCs w:val="20"/>
              </w:rPr>
              <w:t>Grandes Empresas</w:t>
            </w:r>
          </w:p>
        </w:tc>
        <w:tc>
          <w:tcPr>
            <w:tcW w:w="1920" w:type="dxa"/>
            <w:tcBorders>
              <w:top w:val="single" w:sz="4" w:space="0" w:color="000000"/>
              <w:left w:val="single" w:sz="4" w:space="0" w:color="000000"/>
              <w:bottom w:val="single" w:sz="4" w:space="0" w:color="000000"/>
              <w:right w:val="single" w:sz="4" w:space="0" w:color="000000"/>
            </w:tcBorders>
            <w:shd w:val="clear" w:color="auto" w:fill="F6F8F9"/>
            <w:tcMar>
              <w:top w:w="40" w:type="dxa"/>
              <w:left w:w="120" w:type="dxa"/>
              <w:bottom w:w="40" w:type="dxa"/>
              <w:right w:w="120" w:type="dxa"/>
            </w:tcMar>
            <w:vAlign w:val="center"/>
          </w:tcPr>
          <w:p w14:paraId="1EB3B1B2" w14:textId="77777777" w:rsidR="00C928E4" w:rsidRDefault="00C2041E">
            <w:pPr>
              <w:widowControl w:val="0"/>
              <w:spacing w:line="276" w:lineRule="auto"/>
              <w:jc w:val="right"/>
              <w:rPr>
                <w:sz w:val="20"/>
                <w:szCs w:val="20"/>
              </w:rPr>
            </w:pPr>
            <w:r>
              <w:rPr>
                <w:rFonts w:ascii="Roboto" w:eastAsia="Roboto" w:hAnsi="Roboto" w:cs="Roboto"/>
                <w:color w:val="434343"/>
                <w:sz w:val="20"/>
                <w:szCs w:val="20"/>
              </w:rPr>
              <w:t>3.097</w:t>
            </w:r>
          </w:p>
        </w:tc>
        <w:tc>
          <w:tcPr>
            <w:tcW w:w="1875" w:type="dxa"/>
            <w:tcBorders>
              <w:top w:val="single" w:sz="4" w:space="0" w:color="000000"/>
              <w:left w:val="single" w:sz="4" w:space="0" w:color="000000"/>
              <w:bottom w:val="single" w:sz="4" w:space="0" w:color="000000"/>
              <w:right w:val="single" w:sz="4" w:space="0" w:color="000000"/>
            </w:tcBorders>
            <w:shd w:val="clear" w:color="auto" w:fill="F6F8F9"/>
            <w:tcMar>
              <w:top w:w="40" w:type="dxa"/>
              <w:left w:w="120" w:type="dxa"/>
              <w:bottom w:w="40" w:type="dxa"/>
              <w:right w:w="120" w:type="dxa"/>
            </w:tcMar>
            <w:vAlign w:val="center"/>
          </w:tcPr>
          <w:p w14:paraId="6EB4CD82" w14:textId="77777777" w:rsidR="00C928E4" w:rsidRDefault="00C2041E">
            <w:pPr>
              <w:widowControl w:val="0"/>
              <w:spacing w:line="276" w:lineRule="auto"/>
              <w:jc w:val="right"/>
              <w:rPr>
                <w:sz w:val="20"/>
                <w:szCs w:val="20"/>
              </w:rPr>
            </w:pPr>
            <w:r>
              <w:rPr>
                <w:rFonts w:ascii="Roboto" w:eastAsia="Roboto" w:hAnsi="Roboto" w:cs="Roboto"/>
                <w:color w:val="434343"/>
                <w:sz w:val="20"/>
                <w:szCs w:val="20"/>
              </w:rPr>
              <w:t>0.70%</w:t>
            </w:r>
          </w:p>
        </w:tc>
      </w:tr>
      <w:tr w:rsidR="00C928E4" w14:paraId="0F683753" w14:textId="77777777">
        <w:trPr>
          <w:trHeight w:val="315"/>
        </w:trPr>
        <w:tc>
          <w:tcPr>
            <w:tcW w:w="2190" w:type="dxa"/>
            <w:tcBorders>
              <w:top w:val="single" w:sz="4" w:space="0" w:color="000000"/>
              <w:left w:val="single" w:sz="4" w:space="0" w:color="000000"/>
              <w:bottom w:val="single" w:sz="4" w:space="0" w:color="000000"/>
              <w:right w:val="single" w:sz="4" w:space="0" w:color="000000"/>
            </w:tcBorders>
            <w:shd w:val="clear" w:color="auto" w:fill="FFFFFF"/>
            <w:tcMar>
              <w:top w:w="40" w:type="dxa"/>
              <w:left w:w="120" w:type="dxa"/>
              <w:bottom w:w="40" w:type="dxa"/>
              <w:right w:w="120" w:type="dxa"/>
            </w:tcMar>
            <w:vAlign w:val="center"/>
          </w:tcPr>
          <w:p w14:paraId="1E32C30F" w14:textId="77777777" w:rsidR="00C928E4" w:rsidRDefault="00C2041E">
            <w:pPr>
              <w:widowControl w:val="0"/>
              <w:spacing w:line="276" w:lineRule="auto"/>
              <w:rPr>
                <w:sz w:val="20"/>
                <w:szCs w:val="20"/>
              </w:rPr>
            </w:pPr>
            <w:r>
              <w:rPr>
                <w:rFonts w:ascii="Roboto" w:eastAsia="Roboto" w:hAnsi="Roboto" w:cs="Roboto"/>
                <w:b/>
                <w:color w:val="434343"/>
                <w:sz w:val="20"/>
                <w:szCs w:val="20"/>
              </w:rPr>
              <w:t>TOTAL</w:t>
            </w:r>
          </w:p>
        </w:tc>
        <w:tc>
          <w:tcPr>
            <w:tcW w:w="1920" w:type="dxa"/>
            <w:tcBorders>
              <w:top w:val="single" w:sz="4" w:space="0" w:color="000000"/>
              <w:left w:val="single" w:sz="4" w:space="0" w:color="000000"/>
              <w:bottom w:val="single" w:sz="4" w:space="0" w:color="000000"/>
              <w:right w:val="single" w:sz="4" w:space="0" w:color="000000"/>
            </w:tcBorders>
            <w:shd w:val="clear" w:color="auto" w:fill="FFFFFF"/>
            <w:tcMar>
              <w:top w:w="40" w:type="dxa"/>
              <w:left w:w="120" w:type="dxa"/>
              <w:bottom w:w="40" w:type="dxa"/>
              <w:right w:w="120" w:type="dxa"/>
            </w:tcMar>
            <w:vAlign w:val="center"/>
          </w:tcPr>
          <w:p w14:paraId="1C71D4A4" w14:textId="77777777" w:rsidR="00C928E4" w:rsidRDefault="00C2041E">
            <w:pPr>
              <w:widowControl w:val="0"/>
              <w:spacing w:line="276" w:lineRule="auto"/>
              <w:jc w:val="right"/>
              <w:rPr>
                <w:sz w:val="20"/>
                <w:szCs w:val="20"/>
              </w:rPr>
            </w:pPr>
            <w:r>
              <w:rPr>
                <w:rFonts w:ascii="Roboto" w:eastAsia="Roboto" w:hAnsi="Roboto" w:cs="Roboto"/>
                <w:b/>
                <w:color w:val="434343"/>
                <w:sz w:val="20"/>
                <w:szCs w:val="20"/>
              </w:rPr>
              <w:t>444.163</w:t>
            </w:r>
          </w:p>
        </w:tc>
        <w:tc>
          <w:tcPr>
            <w:tcW w:w="1875" w:type="dxa"/>
            <w:tcBorders>
              <w:top w:val="single" w:sz="4" w:space="0" w:color="000000"/>
              <w:left w:val="single" w:sz="4" w:space="0" w:color="000000"/>
              <w:bottom w:val="single" w:sz="4" w:space="0" w:color="000000"/>
              <w:right w:val="single" w:sz="4" w:space="0" w:color="000000"/>
            </w:tcBorders>
            <w:shd w:val="clear" w:color="auto" w:fill="FFFFFF"/>
            <w:tcMar>
              <w:top w:w="40" w:type="dxa"/>
              <w:left w:w="120" w:type="dxa"/>
              <w:bottom w:w="40" w:type="dxa"/>
              <w:right w:w="120" w:type="dxa"/>
            </w:tcMar>
            <w:vAlign w:val="center"/>
          </w:tcPr>
          <w:p w14:paraId="55F76846" w14:textId="77777777" w:rsidR="00C928E4" w:rsidRDefault="00C2041E">
            <w:pPr>
              <w:widowControl w:val="0"/>
              <w:spacing w:line="276" w:lineRule="auto"/>
              <w:jc w:val="right"/>
              <w:rPr>
                <w:sz w:val="20"/>
                <w:szCs w:val="20"/>
              </w:rPr>
            </w:pPr>
            <w:r>
              <w:rPr>
                <w:rFonts w:ascii="Roboto" w:eastAsia="Roboto" w:hAnsi="Roboto" w:cs="Roboto"/>
                <w:b/>
                <w:color w:val="434343"/>
                <w:sz w:val="20"/>
                <w:szCs w:val="20"/>
              </w:rPr>
              <w:t>100%</w:t>
            </w:r>
          </w:p>
        </w:tc>
      </w:tr>
    </w:tbl>
    <w:p w14:paraId="2C1F223A" w14:textId="77777777" w:rsidR="00C928E4" w:rsidRDefault="00C928E4">
      <w:pPr>
        <w:spacing w:before="240" w:after="240" w:line="276" w:lineRule="auto"/>
        <w:jc w:val="center"/>
        <w:rPr>
          <w:rFonts w:ascii="Times New Roman" w:eastAsia="Times New Roman" w:hAnsi="Times New Roman" w:cs="Times New Roman"/>
        </w:rPr>
      </w:pPr>
    </w:p>
    <w:p w14:paraId="4170D1F4" w14:textId="77777777" w:rsidR="00C928E4" w:rsidRDefault="00C2041E">
      <w:pPr>
        <w:spacing w:before="240" w:after="240" w:line="276" w:lineRule="auto"/>
        <w:ind w:left="2880"/>
        <w:jc w:val="center"/>
        <w:rPr>
          <w:rFonts w:ascii="Times New Roman" w:eastAsia="Times New Roman" w:hAnsi="Times New Roman" w:cs="Times New Roman"/>
        </w:rPr>
      </w:pPr>
      <w:r>
        <w:rPr>
          <w:rFonts w:ascii="Times New Roman" w:eastAsia="Times New Roman" w:hAnsi="Times New Roman" w:cs="Times New Roman"/>
        </w:rPr>
        <w:tab/>
      </w:r>
    </w:p>
    <w:p w14:paraId="2033510A" w14:textId="77777777" w:rsidR="00C928E4" w:rsidRDefault="00C928E4">
      <w:pPr>
        <w:spacing w:before="240" w:after="240" w:line="276" w:lineRule="auto"/>
        <w:jc w:val="both"/>
        <w:rPr>
          <w:rFonts w:ascii="Times New Roman" w:eastAsia="Times New Roman" w:hAnsi="Times New Roman" w:cs="Times New Roman"/>
        </w:rPr>
      </w:pPr>
    </w:p>
    <w:p w14:paraId="6BB8A67A" w14:textId="77777777" w:rsidR="00C928E4" w:rsidRDefault="00C928E4">
      <w:pPr>
        <w:spacing w:before="240" w:after="240" w:line="276" w:lineRule="auto"/>
        <w:jc w:val="both"/>
        <w:rPr>
          <w:rFonts w:ascii="Times New Roman" w:eastAsia="Times New Roman" w:hAnsi="Times New Roman" w:cs="Times New Roman"/>
        </w:rPr>
      </w:pPr>
    </w:p>
    <w:p w14:paraId="25D778DA" w14:textId="77777777" w:rsidR="00C928E4" w:rsidRDefault="00C928E4">
      <w:pPr>
        <w:spacing w:before="240" w:after="240" w:line="276" w:lineRule="auto"/>
        <w:jc w:val="both"/>
        <w:rPr>
          <w:rFonts w:ascii="Times New Roman" w:eastAsia="Times New Roman" w:hAnsi="Times New Roman" w:cs="Times New Roman"/>
        </w:rPr>
      </w:pPr>
    </w:p>
    <w:p w14:paraId="564417A3"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 xml:space="preserve">El crecimiento interanual muestra un balance positivo, con un incremento neto de </w:t>
      </w:r>
      <w:r>
        <w:rPr>
          <w:rFonts w:ascii="Times New Roman" w:eastAsia="Times New Roman" w:hAnsi="Times New Roman" w:cs="Times New Roman"/>
          <w:b/>
        </w:rPr>
        <w:t>2.589 empresas</w:t>
      </w:r>
      <w:r>
        <w:rPr>
          <w:rFonts w:ascii="Times New Roman" w:eastAsia="Times New Roman" w:hAnsi="Times New Roman" w:cs="Times New Roman"/>
        </w:rPr>
        <w:t xml:space="preserve"> en comparación con febrero de 2024, lo que representa una tendencia de expansión, aunque con variaciones en los distintos segmentos. Mientras que las microempresas y pequeñas empresas han experimentado un crecimiento de </w:t>
      </w:r>
      <w:r>
        <w:rPr>
          <w:rFonts w:ascii="Times New Roman" w:eastAsia="Times New Roman" w:hAnsi="Times New Roman" w:cs="Times New Roman"/>
          <w:b/>
        </w:rPr>
        <w:t>3.012 y 360 unidades respectivamente</w:t>
      </w:r>
      <w:r>
        <w:rPr>
          <w:rFonts w:ascii="Times New Roman" w:eastAsia="Times New Roman" w:hAnsi="Times New Roman" w:cs="Times New Roman"/>
        </w:rPr>
        <w:t xml:space="preserve">, el sector de las medianas empresas ha registrado una reducción de </w:t>
      </w:r>
      <w:r>
        <w:rPr>
          <w:rFonts w:ascii="Times New Roman" w:eastAsia="Times New Roman" w:hAnsi="Times New Roman" w:cs="Times New Roman"/>
          <w:b/>
        </w:rPr>
        <w:t>217 unidades</w:t>
      </w:r>
      <w:r>
        <w:rPr>
          <w:rFonts w:ascii="Times New Roman" w:eastAsia="Times New Roman" w:hAnsi="Times New Roman" w:cs="Times New Roman"/>
        </w:rPr>
        <w:t>. Este comportamiento evidencia los retos que enfrentan las empresas de tamaño medio en el contexto económico actual.</w:t>
      </w:r>
    </w:p>
    <w:p w14:paraId="0D4BBD42"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Estos datos subrayan la relevancia de las políticas de apoyo a la formalización y sostenibilidad empresarial, ya que las micro y pequeñas empresas continúan siendo el motor principal del tejido productivo de Bogotá.</w:t>
      </w:r>
    </w:p>
    <w:p w14:paraId="2DA835D0" w14:textId="77777777" w:rsidR="00C928E4" w:rsidRDefault="00C2041E">
      <w:pPr>
        <w:spacing w:before="240" w:line="276" w:lineRule="auto"/>
        <w:jc w:val="both"/>
        <w:rPr>
          <w:rFonts w:ascii="Times New Roman" w:eastAsia="Times New Roman" w:hAnsi="Times New Roman" w:cs="Times New Roman"/>
        </w:rPr>
      </w:pPr>
      <w:r>
        <w:rPr>
          <w:rFonts w:ascii="Times New Roman" w:eastAsia="Times New Roman" w:hAnsi="Times New Roman" w:cs="Times New Roman"/>
          <w:noProof/>
          <w:lang w:val="es-CO"/>
        </w:rPr>
        <w:drawing>
          <wp:inline distT="114300" distB="114300" distL="114300" distR="114300" wp14:anchorId="1FA237E6" wp14:editId="2D472356">
            <wp:extent cx="5612130" cy="2552700"/>
            <wp:effectExtent l="0" t="0" r="0" b="0"/>
            <wp:docPr id="2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8"/>
                    <a:srcRect/>
                    <a:stretch>
                      <a:fillRect/>
                    </a:stretch>
                  </pic:blipFill>
                  <pic:spPr>
                    <a:xfrm>
                      <a:off x="0" y="0"/>
                      <a:ext cx="5612130" cy="2552700"/>
                    </a:xfrm>
                    <a:prstGeom prst="rect">
                      <a:avLst/>
                    </a:prstGeom>
                    <a:ln/>
                  </pic:spPr>
                </pic:pic>
              </a:graphicData>
            </a:graphic>
          </wp:inline>
        </w:drawing>
      </w:r>
    </w:p>
    <w:p w14:paraId="2925462E" w14:textId="77777777" w:rsidR="00C928E4" w:rsidRDefault="00C2041E">
      <w:pPr>
        <w:jc w:val="center"/>
        <w:rPr>
          <w:rFonts w:ascii="Times New Roman" w:eastAsia="Times New Roman" w:hAnsi="Times New Roman" w:cs="Times New Roman"/>
        </w:rPr>
      </w:pPr>
      <w:r>
        <w:rPr>
          <w:rFonts w:ascii="Times New Roman" w:eastAsia="Times New Roman" w:hAnsi="Times New Roman" w:cs="Times New Roman"/>
          <w:i/>
        </w:rPr>
        <w:t>Fuente: Observatorio de Desarrollo Económico - ODEB</w:t>
      </w:r>
    </w:p>
    <w:p w14:paraId="16020F7B"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Estos indicadores reflejan la relevancia del sector en la generación de empleo y en la contribución a la economía local, ya que las MiPymes representan un motor fundamental para el desarrollo productivo. Sin embargo, la brecha entre empresas formalizadas e informalizadas pone de manifiesto la existencia de barreras estructurales y administrativas que dificultan el proceso de formalización. Estudios recientes indican que los costos asociados a la formalización, junto con la burocracia inherente a los trámites, representan desafíos significativos para los emprendedores, afectando principalmente a aquellas unidades productivas con menor capacidad de inversión.</w:t>
      </w:r>
    </w:p>
    <w:p w14:paraId="6818A112"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Sin embargo, el estado de las MiPymes en Bogotá evidencia una dinámica compleja y en constante evolución, en la que se destacan tanto avances como desafíos. Según el estudio realizado por la Dirección de Economía Urbana de la Secretaría Distrital de Planeación en el año 2015</w:t>
      </w:r>
      <w:r>
        <w:rPr>
          <w:rFonts w:ascii="Times New Roman" w:eastAsia="Times New Roman" w:hAnsi="Times New Roman" w:cs="Times New Roman"/>
          <w:vertAlign w:val="superscript"/>
        </w:rPr>
        <w:footnoteReference w:id="3"/>
      </w:r>
      <w:r>
        <w:rPr>
          <w:rFonts w:ascii="Times New Roman" w:eastAsia="Times New Roman" w:hAnsi="Times New Roman" w:cs="Times New Roman"/>
        </w:rPr>
        <w:t xml:space="preserve">, utilizando como insumo la base de datos de la Cámara de Comercio de Bogotá del año 2014, en la ciudad se registraban aproximadamente </w:t>
      </w:r>
      <w:r>
        <w:rPr>
          <w:rFonts w:ascii="Times New Roman" w:eastAsia="Times New Roman" w:hAnsi="Times New Roman" w:cs="Times New Roman"/>
          <w:b/>
        </w:rPr>
        <w:t>952.883</w:t>
      </w:r>
      <w:r>
        <w:rPr>
          <w:rFonts w:ascii="Times New Roman" w:eastAsia="Times New Roman" w:hAnsi="Times New Roman" w:cs="Times New Roman"/>
        </w:rPr>
        <w:t xml:space="preserve"> establecimientos con matrícula mercantil activa. De estos, solo </w:t>
      </w:r>
      <w:r>
        <w:rPr>
          <w:rFonts w:ascii="Times New Roman" w:eastAsia="Times New Roman" w:hAnsi="Times New Roman" w:cs="Times New Roman"/>
          <w:b/>
        </w:rPr>
        <w:t>126.241</w:t>
      </w:r>
      <w:r>
        <w:rPr>
          <w:rFonts w:ascii="Times New Roman" w:eastAsia="Times New Roman" w:hAnsi="Times New Roman" w:cs="Times New Roman"/>
        </w:rPr>
        <w:t xml:space="preserve"> cumplían los criterios de formalidad, lo que equivale al </w:t>
      </w:r>
      <w:r>
        <w:rPr>
          <w:rFonts w:ascii="Times New Roman" w:eastAsia="Times New Roman" w:hAnsi="Times New Roman" w:cs="Times New Roman"/>
          <w:b/>
        </w:rPr>
        <w:t>13,25%</w:t>
      </w:r>
      <w:r>
        <w:rPr>
          <w:rFonts w:ascii="Times New Roman" w:eastAsia="Times New Roman" w:hAnsi="Times New Roman" w:cs="Times New Roman"/>
        </w:rPr>
        <w:t xml:space="preserve"> del total, mientras que el </w:t>
      </w:r>
      <w:r>
        <w:rPr>
          <w:rFonts w:ascii="Times New Roman" w:eastAsia="Times New Roman" w:hAnsi="Times New Roman" w:cs="Times New Roman"/>
          <w:b/>
        </w:rPr>
        <w:t>86,75%</w:t>
      </w:r>
      <w:r>
        <w:rPr>
          <w:rFonts w:ascii="Times New Roman" w:eastAsia="Times New Roman" w:hAnsi="Times New Roman" w:cs="Times New Roman"/>
        </w:rPr>
        <w:t xml:space="preserve"> restante se encontraba en situación de informalidad. Estos datos evidencian la alta prevalencia de la informalidad empresarial en Bogotá y la necesidad de fortalecer políticas que promuevan la formalización y el crecimiento sostenible del sector productivo.</w:t>
      </w:r>
    </w:p>
    <w:p w14:paraId="13E82302"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Estos indicadores reflejan la relevancia del sector en la generación de empleo y en la contribución a la economía local, ya que las MiPymes representan un motor fundamental para el desarrollo productivo. Sin embargo, la brecha entre empresas formalizadas e informalizadas pone de manifiesto la existencia de barreras estructurales y administrativas que dificultan el proceso de formalización. Estudios recientes indican que los costos asociados a la formalización, junto con la burocracia inherente a los trámites, representan desafíos significativos para los emprendedores, afectando principalmente a aquellas unidades productivas con menor capacidad de inversión.</w:t>
      </w:r>
    </w:p>
    <w:p w14:paraId="4B93B3AE"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 xml:space="preserve">El crecimiento y la consolidación de las MiPymes en Bogotá están estrechamente vinculados al acceso a financiamiento y a los programas de apoyo implementados por las entidades gubernamentales. En este sentido, iniciativas orientadas a la simplificación de procesos y la reducción de cargas impositivas han mostrado un impacto positivo en el aumento de la tasa de formalización. Un claro ejemplo de ello es el </w:t>
      </w:r>
      <w:r>
        <w:rPr>
          <w:rFonts w:ascii="Times New Roman" w:eastAsia="Times New Roman" w:hAnsi="Times New Roman" w:cs="Times New Roman"/>
          <w:b/>
        </w:rPr>
        <w:t>programa “Apoyo a la Política de Formalización Empresarial”</w:t>
      </w:r>
      <w:r>
        <w:rPr>
          <w:rFonts w:ascii="Times New Roman" w:eastAsia="Times New Roman" w:hAnsi="Times New Roman" w:cs="Times New Roman"/>
        </w:rPr>
        <w:t xml:space="preserve">, cuyo objetivo ha sido reducir ampliamente los porcentajes de informalidad en el país, en cumplimiento de la </w:t>
      </w:r>
      <w:r>
        <w:rPr>
          <w:rFonts w:ascii="Times New Roman" w:eastAsia="Times New Roman" w:hAnsi="Times New Roman" w:cs="Times New Roman"/>
          <w:b/>
        </w:rPr>
        <w:t>Ley 1429 de 2010</w:t>
      </w:r>
      <w:r>
        <w:rPr>
          <w:rFonts w:ascii="Times New Roman" w:eastAsia="Times New Roman" w:hAnsi="Times New Roman" w:cs="Times New Roman"/>
        </w:rPr>
        <w:t xml:space="preserve"> y las metas establecidas en el </w:t>
      </w:r>
      <w:r>
        <w:rPr>
          <w:rFonts w:ascii="Times New Roman" w:eastAsia="Times New Roman" w:hAnsi="Times New Roman" w:cs="Times New Roman"/>
          <w:b/>
        </w:rPr>
        <w:t>Plan Nacional de Desarrollo (2010-2014)</w:t>
      </w:r>
      <w:r>
        <w:rPr>
          <w:rFonts w:ascii="Times New Roman" w:eastAsia="Times New Roman" w:hAnsi="Times New Roman" w:cs="Times New Roman"/>
        </w:rPr>
        <w:t>.</w:t>
      </w:r>
      <w:r>
        <w:rPr>
          <w:rFonts w:ascii="Times New Roman" w:eastAsia="Times New Roman" w:hAnsi="Times New Roman" w:cs="Times New Roman"/>
          <w:vertAlign w:val="superscript"/>
        </w:rPr>
        <w:footnoteReference w:id="4"/>
      </w:r>
      <w:r>
        <w:rPr>
          <w:rFonts w:ascii="Times New Roman" w:eastAsia="Times New Roman" w:hAnsi="Times New Roman" w:cs="Times New Roman"/>
        </w:rPr>
        <w:t xml:space="preserve"> Dicha estrategia de formalización permitió que </w:t>
      </w:r>
      <w:r>
        <w:rPr>
          <w:rFonts w:ascii="Times New Roman" w:eastAsia="Times New Roman" w:hAnsi="Times New Roman" w:cs="Times New Roman"/>
          <w:b/>
        </w:rPr>
        <w:t>57.520 empresas</w:t>
      </w:r>
      <w:r>
        <w:rPr>
          <w:rFonts w:ascii="Times New Roman" w:eastAsia="Times New Roman" w:hAnsi="Times New Roman" w:cs="Times New Roman"/>
        </w:rPr>
        <w:t xml:space="preserve"> avanzan en sus procesos de formalización en </w:t>
      </w:r>
      <w:r>
        <w:rPr>
          <w:rFonts w:ascii="Times New Roman" w:eastAsia="Times New Roman" w:hAnsi="Times New Roman" w:cs="Times New Roman"/>
          <w:b/>
        </w:rPr>
        <w:t>657 municipios</w:t>
      </w:r>
      <w:r>
        <w:rPr>
          <w:rFonts w:ascii="Times New Roman" w:eastAsia="Times New Roman" w:hAnsi="Times New Roman" w:cs="Times New Roman"/>
        </w:rPr>
        <w:t xml:space="preserve"> del país. Además, entre el </w:t>
      </w:r>
      <w:r>
        <w:rPr>
          <w:rFonts w:ascii="Times New Roman" w:eastAsia="Times New Roman" w:hAnsi="Times New Roman" w:cs="Times New Roman"/>
          <w:b/>
        </w:rPr>
        <w:t>2010 y 2016</w:t>
      </w:r>
      <w:r>
        <w:rPr>
          <w:rFonts w:ascii="Times New Roman" w:eastAsia="Times New Roman" w:hAnsi="Times New Roman" w:cs="Times New Roman"/>
        </w:rPr>
        <w:t xml:space="preserve">, se crearon </w:t>
      </w:r>
      <w:r>
        <w:rPr>
          <w:rFonts w:ascii="Times New Roman" w:eastAsia="Times New Roman" w:hAnsi="Times New Roman" w:cs="Times New Roman"/>
          <w:b/>
        </w:rPr>
        <w:t>1.792.932 nuevas empresas</w:t>
      </w:r>
      <w:r>
        <w:rPr>
          <w:rFonts w:ascii="Times New Roman" w:eastAsia="Times New Roman" w:hAnsi="Times New Roman" w:cs="Times New Roman"/>
        </w:rPr>
        <w:t xml:space="preserve"> entre personas naturales y jurídicas en Colombia, lo que representó un incremento cercano al </w:t>
      </w:r>
      <w:r>
        <w:rPr>
          <w:rFonts w:ascii="Times New Roman" w:eastAsia="Times New Roman" w:hAnsi="Times New Roman" w:cs="Times New Roman"/>
          <w:b/>
        </w:rPr>
        <w:t>18%</w:t>
      </w:r>
      <w:r>
        <w:rPr>
          <w:rFonts w:ascii="Times New Roman" w:eastAsia="Times New Roman" w:hAnsi="Times New Roman" w:cs="Times New Roman"/>
        </w:rPr>
        <w:t xml:space="preserve"> en comparación con las </w:t>
      </w:r>
      <w:r>
        <w:rPr>
          <w:rFonts w:ascii="Times New Roman" w:eastAsia="Times New Roman" w:hAnsi="Times New Roman" w:cs="Times New Roman"/>
          <w:b/>
        </w:rPr>
        <w:t>1.524.646 empresas</w:t>
      </w:r>
      <w:r>
        <w:rPr>
          <w:rFonts w:ascii="Times New Roman" w:eastAsia="Times New Roman" w:hAnsi="Times New Roman" w:cs="Times New Roman"/>
        </w:rPr>
        <w:t xml:space="preserve"> creadas en el período </w:t>
      </w:r>
      <w:r>
        <w:rPr>
          <w:rFonts w:ascii="Times New Roman" w:eastAsia="Times New Roman" w:hAnsi="Times New Roman" w:cs="Times New Roman"/>
          <w:b/>
        </w:rPr>
        <w:t>2003-2009</w:t>
      </w:r>
      <w:r>
        <w:rPr>
          <w:rFonts w:ascii="Times New Roman" w:eastAsia="Times New Roman" w:hAnsi="Times New Roman" w:cs="Times New Roman"/>
        </w:rPr>
        <w:t>.</w:t>
      </w:r>
    </w:p>
    <w:p w14:paraId="7C60FDA3"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La informalidad empresarial sigue representando un desafío estructural, ya que limita el acceso a mercados financieros e internacionales, restringe la capacitación y la adopción de tecnología, y genera menores niveles de productividad y competitividad. Sin embargo, los esfuerzos gubernamentales han mostrado resultados positivos en la reducción progresiva de esta problemática, facilitando un entorno más favorable para el crecimiento empresarial y el desarrollo económico en Bogotá. Estos datos, junto con la tendencia observada en la diversificación de los sectores productivos, permiten comprender la importancia de continuar desarrollando políticas públicas focalizadas que fortalezcan el ecosistema empresarial de Bogotá, favoreciendo la competitividad y la integración plena de las MiPymes en la economía formal.</w:t>
      </w:r>
    </w:p>
    <w:p w14:paraId="2FEF57D8" w14:textId="77777777" w:rsidR="00C928E4" w:rsidRDefault="00C2041E">
      <w:pPr>
        <w:numPr>
          <w:ilvl w:val="0"/>
          <w:numId w:val="3"/>
        </w:numPr>
        <w:spacing w:before="240" w:after="240" w:line="276" w:lineRule="auto"/>
        <w:jc w:val="both"/>
        <w:rPr>
          <w:rFonts w:ascii="Times New Roman" w:eastAsia="Times New Roman" w:hAnsi="Times New Roman" w:cs="Times New Roman"/>
          <w:b/>
        </w:rPr>
      </w:pPr>
      <w:r>
        <w:rPr>
          <w:rFonts w:ascii="Times New Roman" w:eastAsia="Times New Roman" w:hAnsi="Times New Roman" w:cs="Times New Roman"/>
          <w:b/>
        </w:rPr>
        <w:t>Requisitos para la constitución formal de una MiPyme</w:t>
      </w:r>
    </w:p>
    <w:p w14:paraId="0C09B63D"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La formalización de las micro, pequeñas y medianas empresas (MiPymes) en Bogotá es un proceso fundamental para fortalecer el tejido empresarial, garantizar el cumplimiento de las normativas legales y fiscales, y brindar acceso a diversas oportunidades de crecimiento. Según la Alcaldía de Bogotá, formalizar un negocio permite acceder a mercados financieros, participar en programas de apoyo empresarial y mejorar la competitividad en el entorno económico. La Secretaría de Desarrollo Económico, detalla de manera exhaustiva los pasos y requisitos necesarios para la constitución formal de una MiPyme en la ciudad de Bogotá.</w:t>
      </w:r>
      <w:r>
        <w:rPr>
          <w:rFonts w:ascii="Times New Roman" w:eastAsia="Times New Roman" w:hAnsi="Times New Roman" w:cs="Times New Roman"/>
          <w:vertAlign w:val="superscript"/>
        </w:rPr>
        <w:footnoteReference w:id="5"/>
      </w:r>
    </w:p>
    <w:p w14:paraId="6BA1018C"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El primer paso en este camino es definir la estructura legal de la empresa. En Colombia, los emprendedores pueden optar entre dos figuras principales:</w:t>
      </w:r>
    </w:p>
    <w:p w14:paraId="1AC54B54" w14:textId="77777777" w:rsidR="00C928E4" w:rsidRDefault="00C2041E">
      <w:pPr>
        <w:numPr>
          <w:ilvl w:val="0"/>
          <w:numId w:val="4"/>
        </w:numPr>
        <w:spacing w:before="240" w:line="276" w:lineRule="auto"/>
        <w:jc w:val="both"/>
        <w:rPr>
          <w:rFonts w:ascii="Times New Roman" w:eastAsia="Times New Roman" w:hAnsi="Times New Roman" w:cs="Times New Roman"/>
        </w:rPr>
      </w:pPr>
      <w:r>
        <w:rPr>
          <w:rFonts w:ascii="Times New Roman" w:eastAsia="Times New Roman" w:hAnsi="Times New Roman" w:cs="Times New Roman"/>
          <w:b/>
        </w:rPr>
        <w:t>Persona natural</w:t>
      </w:r>
      <w:r>
        <w:rPr>
          <w:rFonts w:ascii="Times New Roman" w:eastAsia="Times New Roman" w:hAnsi="Times New Roman" w:cs="Times New Roman"/>
        </w:rPr>
        <w:t>, esta opción es ideal para pequeños negocios o emprendimientos unipersonales, ya que permite operar de manera sencilla, aunque con la responsabilidad directa del empresario sobre sus obligaciones tributarias y financieras.</w:t>
      </w:r>
    </w:p>
    <w:p w14:paraId="1DE7858C" w14:textId="77777777" w:rsidR="00C928E4" w:rsidRDefault="00C2041E">
      <w:pPr>
        <w:numPr>
          <w:ilvl w:val="0"/>
          <w:numId w:val="4"/>
        </w:numPr>
        <w:spacing w:after="240" w:line="276" w:lineRule="auto"/>
        <w:jc w:val="both"/>
        <w:rPr>
          <w:rFonts w:ascii="Times New Roman" w:eastAsia="Times New Roman" w:hAnsi="Times New Roman" w:cs="Times New Roman"/>
        </w:rPr>
      </w:pPr>
      <w:r>
        <w:rPr>
          <w:rFonts w:ascii="Times New Roman" w:eastAsia="Times New Roman" w:hAnsi="Times New Roman" w:cs="Times New Roman"/>
          <w:b/>
        </w:rPr>
        <w:t>Persona jurídica</w:t>
      </w:r>
      <w:r>
        <w:rPr>
          <w:rFonts w:ascii="Times New Roman" w:eastAsia="Times New Roman" w:hAnsi="Times New Roman" w:cs="Times New Roman"/>
        </w:rPr>
        <w:t>, requiere la constitución de una sociedad con personalidad jurídica propia, separada de la de sus socios. Entre las opciones más comunes están la Sociedad por Acciones Simplificada (S.A.S.), la Sociedad Limitada (Ltda.) y la Sociedad Anónima (S.A.), cada una con características específicas que responden a diferentes modelos de negocio y niveles de protección patrimonial.</w:t>
      </w:r>
    </w:p>
    <w:p w14:paraId="55FB0FE5"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Definida la forma jurídica, el siguiente paso es la elaboración del documento de constitución o escritura pública. Este documento, que en algunos casos puede ser un documento privado (como en el caso de las S.A.S.), debe incluir elementos clave como:</w:t>
      </w:r>
    </w:p>
    <w:p w14:paraId="1B9D9B56" w14:textId="77777777" w:rsidR="00C928E4" w:rsidRDefault="00C2041E">
      <w:pPr>
        <w:numPr>
          <w:ilvl w:val="0"/>
          <w:numId w:val="5"/>
        </w:numPr>
        <w:spacing w:before="240" w:line="276" w:lineRule="auto"/>
        <w:rPr>
          <w:rFonts w:ascii="Times New Roman" w:eastAsia="Times New Roman" w:hAnsi="Times New Roman" w:cs="Times New Roman"/>
        </w:rPr>
      </w:pPr>
      <w:r>
        <w:rPr>
          <w:rFonts w:ascii="Times New Roman" w:eastAsia="Times New Roman" w:hAnsi="Times New Roman" w:cs="Times New Roman"/>
        </w:rPr>
        <w:t>Razón social de la empresa.</w:t>
      </w:r>
    </w:p>
    <w:p w14:paraId="085CEF3D" w14:textId="77777777" w:rsidR="00C928E4" w:rsidRDefault="00C2041E">
      <w:pPr>
        <w:numPr>
          <w:ilvl w:val="0"/>
          <w:numId w:val="5"/>
        </w:numPr>
        <w:spacing w:line="276" w:lineRule="auto"/>
        <w:rPr>
          <w:rFonts w:ascii="Times New Roman" w:eastAsia="Times New Roman" w:hAnsi="Times New Roman" w:cs="Times New Roman"/>
        </w:rPr>
      </w:pPr>
      <w:r>
        <w:rPr>
          <w:rFonts w:ascii="Times New Roman" w:eastAsia="Times New Roman" w:hAnsi="Times New Roman" w:cs="Times New Roman"/>
        </w:rPr>
        <w:t>Objeto social, es decir, la descripción detallada de las actividades económicas que desarrollará.</w:t>
      </w:r>
    </w:p>
    <w:p w14:paraId="7052A517" w14:textId="77777777" w:rsidR="00C928E4" w:rsidRDefault="00C2041E">
      <w:pPr>
        <w:numPr>
          <w:ilvl w:val="0"/>
          <w:numId w:val="5"/>
        </w:numPr>
        <w:spacing w:line="276" w:lineRule="auto"/>
        <w:rPr>
          <w:rFonts w:ascii="Times New Roman" w:eastAsia="Times New Roman" w:hAnsi="Times New Roman" w:cs="Times New Roman"/>
        </w:rPr>
      </w:pPr>
      <w:r>
        <w:rPr>
          <w:rFonts w:ascii="Times New Roman" w:eastAsia="Times New Roman" w:hAnsi="Times New Roman" w:cs="Times New Roman"/>
        </w:rPr>
        <w:t>Información de los socios y sus respectivas participaciones (si aplica).</w:t>
      </w:r>
    </w:p>
    <w:p w14:paraId="2D944A75" w14:textId="77777777" w:rsidR="00C928E4" w:rsidRDefault="00C2041E">
      <w:pPr>
        <w:numPr>
          <w:ilvl w:val="0"/>
          <w:numId w:val="5"/>
        </w:numPr>
        <w:spacing w:line="276" w:lineRule="auto"/>
        <w:rPr>
          <w:rFonts w:ascii="Times New Roman" w:eastAsia="Times New Roman" w:hAnsi="Times New Roman" w:cs="Times New Roman"/>
        </w:rPr>
      </w:pPr>
      <w:r>
        <w:rPr>
          <w:rFonts w:ascii="Times New Roman" w:eastAsia="Times New Roman" w:hAnsi="Times New Roman" w:cs="Times New Roman"/>
        </w:rPr>
        <w:t>Capital social inicial.</w:t>
      </w:r>
    </w:p>
    <w:p w14:paraId="2CF941F2" w14:textId="77777777" w:rsidR="00C928E4" w:rsidRDefault="00C2041E">
      <w:pPr>
        <w:numPr>
          <w:ilvl w:val="0"/>
          <w:numId w:val="5"/>
        </w:numPr>
        <w:spacing w:line="276" w:lineRule="auto"/>
        <w:rPr>
          <w:rFonts w:ascii="Times New Roman" w:eastAsia="Times New Roman" w:hAnsi="Times New Roman" w:cs="Times New Roman"/>
        </w:rPr>
      </w:pPr>
      <w:r>
        <w:rPr>
          <w:rFonts w:ascii="Times New Roman" w:eastAsia="Times New Roman" w:hAnsi="Times New Roman" w:cs="Times New Roman"/>
        </w:rPr>
        <w:t>Normas de administración y representación legal.</w:t>
      </w:r>
    </w:p>
    <w:p w14:paraId="7163B9C7" w14:textId="77777777" w:rsidR="00C928E4" w:rsidRDefault="00C2041E">
      <w:pPr>
        <w:numPr>
          <w:ilvl w:val="0"/>
          <w:numId w:val="5"/>
        </w:numPr>
        <w:spacing w:after="240" w:line="276" w:lineRule="auto"/>
        <w:rPr>
          <w:rFonts w:ascii="Times New Roman" w:eastAsia="Times New Roman" w:hAnsi="Times New Roman" w:cs="Times New Roman"/>
        </w:rPr>
      </w:pPr>
      <w:r>
        <w:rPr>
          <w:rFonts w:ascii="Times New Roman" w:eastAsia="Times New Roman" w:hAnsi="Times New Roman" w:cs="Times New Roman"/>
        </w:rPr>
        <w:t>Ubicación del domicilio principal de la empresa.</w:t>
      </w:r>
    </w:p>
    <w:p w14:paraId="19DAF178"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El siguiente paso es el registro en la Cámara de Comercio de Bogotá (CCB), lo que permite obtener la Matrícula Mercantil y operar legalmente. Este trámite puede realizarse de manera virtual o presencial y requiere:</w:t>
      </w:r>
    </w:p>
    <w:p w14:paraId="7F6E4AE7" w14:textId="77777777" w:rsidR="00C928E4" w:rsidRDefault="00C2041E">
      <w:pPr>
        <w:numPr>
          <w:ilvl w:val="0"/>
          <w:numId w:val="6"/>
        </w:numPr>
        <w:spacing w:before="240" w:line="276" w:lineRule="auto"/>
        <w:rPr>
          <w:rFonts w:ascii="Times New Roman" w:eastAsia="Times New Roman" w:hAnsi="Times New Roman" w:cs="Times New Roman"/>
        </w:rPr>
      </w:pPr>
      <w:r>
        <w:rPr>
          <w:rFonts w:ascii="Times New Roman" w:eastAsia="Times New Roman" w:hAnsi="Times New Roman" w:cs="Times New Roman"/>
        </w:rPr>
        <w:t>Diligenciamiento del formulario de inscripción.</w:t>
      </w:r>
    </w:p>
    <w:p w14:paraId="453C769B" w14:textId="77777777" w:rsidR="00C928E4" w:rsidRDefault="00C2041E">
      <w:pPr>
        <w:numPr>
          <w:ilvl w:val="0"/>
          <w:numId w:val="6"/>
        </w:numPr>
        <w:spacing w:line="276" w:lineRule="auto"/>
        <w:rPr>
          <w:rFonts w:ascii="Times New Roman" w:eastAsia="Times New Roman" w:hAnsi="Times New Roman" w:cs="Times New Roman"/>
        </w:rPr>
      </w:pPr>
      <w:r>
        <w:rPr>
          <w:rFonts w:ascii="Times New Roman" w:eastAsia="Times New Roman" w:hAnsi="Times New Roman" w:cs="Times New Roman"/>
        </w:rPr>
        <w:t>Pago de los derechos de matrícula y su renovación anual.</w:t>
      </w:r>
    </w:p>
    <w:p w14:paraId="3B9EE75C" w14:textId="77777777" w:rsidR="00C928E4" w:rsidRDefault="00C2041E">
      <w:pPr>
        <w:numPr>
          <w:ilvl w:val="0"/>
          <w:numId w:val="6"/>
        </w:numPr>
        <w:spacing w:after="240" w:line="276" w:lineRule="auto"/>
        <w:rPr>
          <w:rFonts w:ascii="Times New Roman" w:eastAsia="Times New Roman" w:hAnsi="Times New Roman" w:cs="Times New Roman"/>
        </w:rPr>
      </w:pPr>
      <w:r>
        <w:rPr>
          <w:rFonts w:ascii="Times New Roman" w:eastAsia="Times New Roman" w:hAnsi="Times New Roman" w:cs="Times New Roman"/>
        </w:rPr>
        <w:t>Presentación del documento de constitución.</w:t>
      </w:r>
    </w:p>
    <w:p w14:paraId="5A1E8019"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Es importante destacar que la Matrícula Mercantil debe renovarse anualmente antes del 31 de marzo para evitar sanciones y garantizar la continuidad del negocio.</w:t>
      </w:r>
    </w:p>
    <w:p w14:paraId="5F252A74"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Una vez registrada la empresa, es obligatorio obtener el Registro Único Tributario (RUT) ante la Dirección de Impuestos y Aduanas Nacionales (DIAN). Este registro proporciona el Número de Identificación Tributaria (NIT), el cual es indispensable para la facturación, presentación de declaraciones de impuestos y cumplimiento de obligaciones fiscales.</w:t>
      </w:r>
    </w:p>
    <w:p w14:paraId="2FDA8925"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A nivel distrital, toda empresa debe inscribirse en el Registro de Contribuyentes de Industria y Comercio, administrado por la Secretaría Distrital de Hacienda. Este registro permite a las autoridades locales llevar un control de las actividades económicas y gestionar el pago del Impuesto de Industria y Comercio (ICA), una obligación recurrente para los empresarios formales.</w:t>
      </w:r>
    </w:p>
    <w:p w14:paraId="6DCC2495"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Uno de los aspectos esenciales antes de iniciar operaciones es verificar que el establecimiento cumple con las normativas de uso del suelo, establecidas por la Secretaría Distrital de Planeación. Algunos sectores comerciales e industriales requieren permisos adicionales o están sujetos a restricciones específicas en ciertas zonas de la ciudad, por lo que es fundamental hacer esta consulta previa para evitar inconvenientes posteriores.</w:t>
      </w:r>
    </w:p>
    <w:p w14:paraId="4BA467A8"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Dependiendo de la actividad económica, algunas empresas deben cumplir con normativas sanitarias y ambientales. Entre los requisitos más relevantes se encuentran:</w:t>
      </w:r>
    </w:p>
    <w:p w14:paraId="7D2977DC" w14:textId="77777777" w:rsidR="00C928E4" w:rsidRDefault="00C2041E">
      <w:pPr>
        <w:numPr>
          <w:ilvl w:val="0"/>
          <w:numId w:val="11"/>
        </w:numPr>
        <w:spacing w:before="240" w:line="276" w:lineRule="auto"/>
        <w:rPr>
          <w:rFonts w:ascii="Times New Roman" w:eastAsia="Times New Roman" w:hAnsi="Times New Roman" w:cs="Times New Roman"/>
        </w:rPr>
      </w:pPr>
      <w:r>
        <w:rPr>
          <w:rFonts w:ascii="Times New Roman" w:eastAsia="Times New Roman" w:hAnsi="Times New Roman" w:cs="Times New Roman"/>
          <w:b/>
        </w:rPr>
        <w:t>Registro sanitario</w:t>
      </w:r>
      <w:r>
        <w:rPr>
          <w:rFonts w:ascii="Times New Roman" w:eastAsia="Times New Roman" w:hAnsi="Times New Roman" w:cs="Times New Roman"/>
        </w:rPr>
        <w:t>: Obligatorio para empresas del sector alimentario, farmacéutico y de salud, el cual debe obtenerse ante la Secretaría Distrital de Salud.</w:t>
      </w:r>
    </w:p>
    <w:p w14:paraId="3AE83F57" w14:textId="77777777" w:rsidR="00C928E4" w:rsidRDefault="00C2041E">
      <w:pPr>
        <w:numPr>
          <w:ilvl w:val="0"/>
          <w:numId w:val="11"/>
        </w:numPr>
        <w:spacing w:after="240" w:line="276" w:lineRule="auto"/>
        <w:rPr>
          <w:rFonts w:ascii="Times New Roman" w:eastAsia="Times New Roman" w:hAnsi="Times New Roman" w:cs="Times New Roman"/>
        </w:rPr>
      </w:pPr>
      <w:r>
        <w:rPr>
          <w:rFonts w:ascii="Times New Roman" w:eastAsia="Times New Roman" w:hAnsi="Times New Roman" w:cs="Times New Roman"/>
          <w:b/>
        </w:rPr>
        <w:t>Licencias ambientales</w:t>
      </w:r>
      <w:r>
        <w:rPr>
          <w:rFonts w:ascii="Times New Roman" w:eastAsia="Times New Roman" w:hAnsi="Times New Roman" w:cs="Times New Roman"/>
        </w:rPr>
        <w:t>: Empresas que generan residuos o impacto ambiental deben tramitar permisos específicos ante la Secretaría Distrital de Ambiente.</w:t>
      </w:r>
    </w:p>
    <w:p w14:paraId="7AD2AF5D"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Cumplir con estas regulaciones no solo es una exigencia legal, sino que también fortalece la confianza de los consumidores y mejora la reputación empresarial.</w:t>
      </w:r>
    </w:p>
    <w:p w14:paraId="7F9E7CEA"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Las empresas que contraten empleados deben garantizar su afiliación al Sistema de Seguridad Social. Este proceso incluye:</w:t>
      </w:r>
    </w:p>
    <w:p w14:paraId="7E2B2034" w14:textId="77777777" w:rsidR="00C928E4" w:rsidRDefault="00C2041E">
      <w:pPr>
        <w:numPr>
          <w:ilvl w:val="0"/>
          <w:numId w:val="10"/>
        </w:numPr>
        <w:spacing w:before="240" w:line="276" w:lineRule="auto"/>
        <w:rPr>
          <w:rFonts w:ascii="Times New Roman" w:eastAsia="Times New Roman" w:hAnsi="Times New Roman" w:cs="Times New Roman"/>
        </w:rPr>
      </w:pPr>
      <w:r>
        <w:rPr>
          <w:rFonts w:ascii="Times New Roman" w:eastAsia="Times New Roman" w:hAnsi="Times New Roman" w:cs="Times New Roman"/>
        </w:rPr>
        <w:t>Registro en una Administradora de Riesgos Laborales (ARL).</w:t>
      </w:r>
    </w:p>
    <w:p w14:paraId="577F6D31" w14:textId="77777777" w:rsidR="00C928E4" w:rsidRDefault="00C2041E">
      <w:pPr>
        <w:numPr>
          <w:ilvl w:val="0"/>
          <w:numId w:val="10"/>
        </w:numPr>
        <w:spacing w:line="276" w:lineRule="auto"/>
        <w:rPr>
          <w:rFonts w:ascii="Times New Roman" w:eastAsia="Times New Roman" w:hAnsi="Times New Roman" w:cs="Times New Roman"/>
        </w:rPr>
      </w:pPr>
      <w:r>
        <w:rPr>
          <w:rFonts w:ascii="Times New Roman" w:eastAsia="Times New Roman" w:hAnsi="Times New Roman" w:cs="Times New Roman"/>
        </w:rPr>
        <w:t>Afiliación a una Caja de Compensación Familiar.</w:t>
      </w:r>
    </w:p>
    <w:p w14:paraId="4E8CC5D8" w14:textId="77777777" w:rsidR="00C928E4" w:rsidRDefault="00C2041E">
      <w:pPr>
        <w:numPr>
          <w:ilvl w:val="0"/>
          <w:numId w:val="10"/>
        </w:numPr>
        <w:spacing w:after="240" w:line="276" w:lineRule="auto"/>
        <w:rPr>
          <w:rFonts w:ascii="Times New Roman" w:eastAsia="Times New Roman" w:hAnsi="Times New Roman" w:cs="Times New Roman"/>
        </w:rPr>
      </w:pPr>
      <w:r>
        <w:rPr>
          <w:rFonts w:ascii="Times New Roman" w:eastAsia="Times New Roman" w:hAnsi="Times New Roman" w:cs="Times New Roman"/>
        </w:rPr>
        <w:t>Inscripción en un fondo de pensiones y en una Entidad Promotora de Salud (EPS).</w:t>
      </w:r>
    </w:p>
    <w:p w14:paraId="098ECF88"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Cumplir con estas obligaciones es esencial para proteger los derechos laborales de los trabajadores y evitar sanciones por incumplimiento de la normativa vigente.</w:t>
      </w:r>
    </w:p>
    <w:p w14:paraId="46BC42A3"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La formalización de una MiPyme conlleva costos iniciales que incluyen:</w:t>
      </w:r>
    </w:p>
    <w:p w14:paraId="3F5543D4" w14:textId="77777777" w:rsidR="00C928E4" w:rsidRDefault="00C2041E">
      <w:pPr>
        <w:numPr>
          <w:ilvl w:val="0"/>
          <w:numId w:val="8"/>
        </w:numPr>
        <w:spacing w:before="240" w:line="276" w:lineRule="auto"/>
        <w:rPr>
          <w:rFonts w:ascii="Times New Roman" w:eastAsia="Times New Roman" w:hAnsi="Times New Roman" w:cs="Times New Roman"/>
        </w:rPr>
      </w:pPr>
      <w:r>
        <w:rPr>
          <w:rFonts w:ascii="Times New Roman" w:eastAsia="Times New Roman" w:hAnsi="Times New Roman" w:cs="Times New Roman"/>
        </w:rPr>
        <w:t>Derechos de inscripción en la Cámara de Comercio.</w:t>
      </w:r>
    </w:p>
    <w:p w14:paraId="4517E2F9" w14:textId="77777777" w:rsidR="00C928E4" w:rsidRDefault="00C2041E">
      <w:pPr>
        <w:numPr>
          <w:ilvl w:val="0"/>
          <w:numId w:val="8"/>
        </w:numPr>
        <w:spacing w:line="276" w:lineRule="auto"/>
        <w:rPr>
          <w:rFonts w:ascii="Times New Roman" w:eastAsia="Times New Roman" w:hAnsi="Times New Roman" w:cs="Times New Roman"/>
        </w:rPr>
      </w:pPr>
      <w:r>
        <w:rPr>
          <w:rFonts w:ascii="Times New Roman" w:eastAsia="Times New Roman" w:hAnsi="Times New Roman" w:cs="Times New Roman"/>
        </w:rPr>
        <w:t>Pago de la primera cuota del ICA.</w:t>
      </w:r>
    </w:p>
    <w:p w14:paraId="406B44D2" w14:textId="77777777" w:rsidR="00C928E4" w:rsidRDefault="00C2041E">
      <w:pPr>
        <w:numPr>
          <w:ilvl w:val="0"/>
          <w:numId w:val="8"/>
        </w:numPr>
        <w:spacing w:after="240" w:line="276" w:lineRule="auto"/>
        <w:rPr>
          <w:rFonts w:ascii="Times New Roman" w:eastAsia="Times New Roman" w:hAnsi="Times New Roman" w:cs="Times New Roman"/>
        </w:rPr>
      </w:pPr>
      <w:r>
        <w:rPr>
          <w:rFonts w:ascii="Times New Roman" w:eastAsia="Times New Roman" w:hAnsi="Times New Roman" w:cs="Times New Roman"/>
        </w:rPr>
        <w:t>Tarifas asociadas a licencias ambientales y sanitarias (si aplican).</w:t>
      </w:r>
    </w:p>
    <w:p w14:paraId="6E3C0860"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Además, es indispensable renovar anualmente la Matrícula Mercantil y mantenerse al día con las obligaciones fiscales y de seguridad social. Esto no solo evita sanciones, sino que también permite a las empresas operar con estabilidad y acceder a beneficios como créditos y programas de apoyo empresarial.</w:t>
      </w:r>
    </w:p>
    <w:p w14:paraId="101A2DC9"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Formalizar una MiPyme en Bogotá no solo es un requisito legal, sino una estrategia clave para garantizar el crecimiento sostenible del negocio. A través de este proceso, las empresas pueden acceder a financiamiento, recibir acompañamiento en su desarrollo y participar en mercados más amplios con mejores oportunidades. Si bien la simplificación de trámites sigue siendo un reto, los esfuerzos gubernamentales han demostrado ser efectivos en la reducción de la informalidad y la promoción de un entorno empresarial más dinámico y competitivo. Así, la formalización empresarial se convierte en un pilar fundamental para el desarrollo económico de la ciudad y el país en su conjunto.</w:t>
      </w:r>
    </w:p>
    <w:p w14:paraId="575B2281" w14:textId="77777777" w:rsidR="00C928E4" w:rsidRDefault="00C2041E">
      <w:pPr>
        <w:numPr>
          <w:ilvl w:val="0"/>
          <w:numId w:val="3"/>
        </w:numPr>
        <w:spacing w:before="240" w:after="240" w:line="276" w:lineRule="auto"/>
        <w:jc w:val="both"/>
        <w:rPr>
          <w:rFonts w:ascii="Times New Roman" w:eastAsia="Times New Roman" w:hAnsi="Times New Roman" w:cs="Times New Roman"/>
          <w:b/>
        </w:rPr>
      </w:pPr>
      <w:r>
        <w:rPr>
          <w:rFonts w:ascii="Times New Roman" w:eastAsia="Times New Roman" w:hAnsi="Times New Roman" w:cs="Times New Roman"/>
          <w:b/>
        </w:rPr>
        <w:t xml:space="preserve">Formalidad e informalidad en el sector empresarial </w:t>
      </w:r>
    </w:p>
    <w:p w14:paraId="5E478853"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El sector empresarial en Colombia se encuentra dividido entre la formalidad e informalidad, dos categorías que impactan significativamente el desarrollo económico del país. Mientras que las empresas formales cumplen con los requisitos legales y tributarios, las informales operan al margen de la regulación, lo que conlleva diversas implicaciones tanto para los emprendedores como para la economía nacional.</w:t>
      </w:r>
    </w:p>
    <w:p w14:paraId="7945D3B5"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 xml:space="preserve">La formalidad empresarial se refiere a la inscripción y cumplimiento de obligaciones legales, fiscales y laborales de una empresa. De acuerdo con el </w:t>
      </w:r>
      <w:r>
        <w:rPr>
          <w:rFonts w:ascii="Times New Roman" w:eastAsia="Times New Roman" w:hAnsi="Times New Roman" w:cs="Times New Roman"/>
          <w:b/>
        </w:rPr>
        <w:t>Ministerio de Comercio, Industria y Turismo</w:t>
      </w:r>
      <w:r>
        <w:rPr>
          <w:rFonts w:ascii="Times New Roman" w:eastAsia="Times New Roman" w:hAnsi="Times New Roman" w:cs="Times New Roman"/>
        </w:rPr>
        <w:t>, una empresa formal es aquella que cuenta con registro ante la Cámara de Comercio, posee un Número de Identificación Tributaria (NIT) otorgado por la DIAN y cumple con la normatividad vigente en materia laboral y de seguridad social. Esta condición permite acceder a beneficios como financiamiento, apoyo gubernamental y mayor estabilidad en el mercado.</w:t>
      </w:r>
    </w:p>
    <w:p w14:paraId="06D7B4C1"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Según el estudio acerca de Big data e informalidad en los corazones productivos de Bogotá realizado por la Secretaría de Desarrollo Económico del Distrito (SDDE) y el Observatorio de Desarrollo Económico de Bogotá - ODEB, (2023).</w:t>
      </w:r>
      <w:r>
        <w:rPr>
          <w:rFonts w:ascii="Times New Roman" w:eastAsia="Times New Roman" w:hAnsi="Times New Roman" w:cs="Times New Roman"/>
          <w:vertAlign w:val="superscript"/>
        </w:rPr>
        <w:footnoteReference w:id="6"/>
      </w:r>
      <w:r>
        <w:rPr>
          <w:rFonts w:ascii="Times New Roman" w:eastAsia="Times New Roman" w:hAnsi="Times New Roman" w:cs="Times New Roman"/>
        </w:rPr>
        <w:t xml:space="preserve"> Basado en la información de Google Maps, se analizó la probabilidad de formalidad de los negocios en distintos sectores de Bogotá. </w:t>
      </w:r>
    </w:p>
    <w:p w14:paraId="1C3DF61B"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Los resultados indican que la mayoría de las empresas evaluadas presentan un alto grado de formalidad. En total, 4.138 negocios fueron clasificados dentro de las categorías de “muy probable” y “probable” en términos de formalización, lo que representa el 72.7% del total de 5.691 empresas analizadas. En detalle, el 24,9% de los negocios fueron considerados “muy probables” de ser formales, mientras que el 47,8% fueron calificados como “probables”, como se muestra en la siguiente tabla.</w:t>
      </w:r>
    </w:p>
    <w:p w14:paraId="101720CF" w14:textId="77777777" w:rsidR="00C928E4" w:rsidRDefault="00C2041E">
      <w:pPr>
        <w:spacing w:before="240" w:after="240" w:line="276" w:lineRule="auto"/>
        <w:jc w:val="center"/>
        <w:rPr>
          <w:rFonts w:ascii="Times New Roman" w:eastAsia="Times New Roman" w:hAnsi="Times New Roman" w:cs="Times New Roman"/>
        </w:rPr>
      </w:pPr>
      <w:r>
        <w:rPr>
          <w:rFonts w:ascii="Times New Roman" w:eastAsia="Times New Roman" w:hAnsi="Times New Roman" w:cs="Times New Roman"/>
          <w:noProof/>
          <w:lang w:val="es-CO"/>
        </w:rPr>
        <w:drawing>
          <wp:inline distT="114300" distB="114300" distL="114300" distR="114300" wp14:anchorId="1D23573C" wp14:editId="6FD66D17">
            <wp:extent cx="4838700" cy="1533525"/>
            <wp:effectExtent l="0" t="0" r="0" b="0"/>
            <wp:docPr id="2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9"/>
                    <a:srcRect/>
                    <a:stretch>
                      <a:fillRect/>
                    </a:stretch>
                  </pic:blipFill>
                  <pic:spPr>
                    <a:xfrm>
                      <a:off x="0" y="0"/>
                      <a:ext cx="4838700" cy="1533525"/>
                    </a:xfrm>
                    <a:prstGeom prst="rect">
                      <a:avLst/>
                    </a:prstGeom>
                    <a:ln/>
                  </pic:spPr>
                </pic:pic>
              </a:graphicData>
            </a:graphic>
          </wp:inline>
        </w:drawing>
      </w:r>
    </w:p>
    <w:p w14:paraId="6252651C" w14:textId="77777777" w:rsidR="00C928E4" w:rsidRDefault="00C2041E">
      <w:pPr>
        <w:spacing w:before="240" w:after="240" w:line="276" w:lineRule="auto"/>
        <w:jc w:val="center"/>
        <w:rPr>
          <w:rFonts w:ascii="Times New Roman" w:eastAsia="Times New Roman" w:hAnsi="Times New Roman" w:cs="Times New Roman"/>
          <w:i/>
        </w:rPr>
      </w:pPr>
      <w:r>
        <w:rPr>
          <w:rFonts w:ascii="Times New Roman" w:eastAsia="Times New Roman" w:hAnsi="Times New Roman" w:cs="Times New Roman"/>
          <w:i/>
        </w:rPr>
        <w:t>Fuente: Corazones productivos SDDE-ODEB, CCB y Google Maps. Elaboración SDDE-ODEB</w:t>
      </w:r>
    </w:p>
    <w:p w14:paraId="0DFDE10E"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 xml:space="preserve">Sin embargo, un 27,3% de los negocios fueron clasificados como “poco probables” o “cero probables” en cuanto a su formalidad, lo que evidencia la existencia de barreras que impiden la regularización de ciertas unidades productivas. Este porcentaje varía dependiendo de la zona, alcanzando cifras preocupantes como el 43,5 % de informalidad en el sector de Ricaurte. </w:t>
      </w:r>
    </w:p>
    <w:p w14:paraId="5FAF8F8E"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Estos datos reflejan la importancia de la promoción de estrategias de formalización que faciliten el acceso a los beneficios legales y financieros de las MiPymes. La estabilidad y crecimiento empresarial dependen, en gran medida, de la capacidad de las autoridades para simplificar procesos, reducir cargas tributarias y brindar apoyo a los emprendedores que buscan ingresar al marco de la legalidad.</w:t>
      </w:r>
    </w:p>
    <w:p w14:paraId="6D2320A3"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Por otro lado, la informalidad empresarial se define como la actividad económica desarrollada sin cumplir con las normativas legales, lo que refleja una problemática estructural en la economía colombiana. En términos empresariales, la informalidad implica la ausencia de registro mercantil, evasión de impuestos y desconocimiento de los derechos laborales, lo que limita el acceso a servicios financieros y programas de crecimiento empresarial.</w:t>
      </w:r>
    </w:p>
    <w:p w14:paraId="77A7F630"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La informalidad empresarial sigue siendo un desafío significativo en distintos sectores productivos de Bogotá. Según los datos recopilados acerca del estudio Big data e informalidad en los corazones productivos de Bogotá realizado por la Secretaría de Desarrollo Económico del Distrito (SDDE) y el Observatorio de Desarrollo Económico de Bogotá - ODEB, (2023)</w:t>
      </w:r>
      <w:r>
        <w:rPr>
          <w:rFonts w:ascii="Times New Roman" w:eastAsia="Times New Roman" w:hAnsi="Times New Roman" w:cs="Times New Roman"/>
          <w:vertAlign w:val="superscript"/>
        </w:rPr>
        <w:footnoteReference w:id="7"/>
      </w:r>
      <w:r>
        <w:rPr>
          <w:rFonts w:ascii="Times New Roman" w:eastAsia="Times New Roman" w:hAnsi="Times New Roman" w:cs="Times New Roman"/>
        </w:rPr>
        <w:t>. La tasa promedio de informalidad en los llamados “corazones productivos” de la ciudad se sitúa en un 27,3%. No obstante, esta cifra varía ampliamente según la zona y el tipo de actividad económica.</w:t>
      </w:r>
    </w:p>
    <w:p w14:paraId="019C7BB7"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El sector con la mayor tasa de informalidad es la industria diversificada de Ricaurte, donde el 43,5% de los negocios no están formalizados. Este dato refleja los obstáculos que enfrentan los empresarios en este sector, posiblemente debido a la naturaleza heterogénea de sus actividades y las dificultades para acceder a los procesos de regulación. Le sigue el sector Doce de Octubre con una tasa de informalidad del 37,4%, lo que evidencia la persistencia de las barreras burocráticas y económicas que dificultan la legalización de los negocios en esta zona. Tal cual como se evidencia en la imagen.</w:t>
      </w:r>
    </w:p>
    <w:p w14:paraId="6B42BAB9"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noProof/>
          <w:lang w:val="es-CO"/>
        </w:rPr>
        <w:drawing>
          <wp:inline distT="114300" distB="114300" distL="114300" distR="114300" wp14:anchorId="1023F276" wp14:editId="4E1949F2">
            <wp:extent cx="5612130" cy="3251200"/>
            <wp:effectExtent l="0" t="0" r="0" b="0"/>
            <wp:docPr id="23"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0"/>
                    <a:srcRect/>
                    <a:stretch>
                      <a:fillRect/>
                    </a:stretch>
                  </pic:blipFill>
                  <pic:spPr>
                    <a:xfrm>
                      <a:off x="0" y="0"/>
                      <a:ext cx="5612130" cy="3251200"/>
                    </a:xfrm>
                    <a:prstGeom prst="rect">
                      <a:avLst/>
                    </a:prstGeom>
                    <a:ln/>
                  </pic:spPr>
                </pic:pic>
              </a:graphicData>
            </a:graphic>
          </wp:inline>
        </w:drawing>
      </w:r>
    </w:p>
    <w:p w14:paraId="7A024197" w14:textId="77777777" w:rsidR="00C928E4" w:rsidRDefault="00C2041E">
      <w:pPr>
        <w:spacing w:before="240" w:after="240" w:line="276" w:lineRule="auto"/>
        <w:jc w:val="center"/>
        <w:rPr>
          <w:rFonts w:ascii="Times New Roman" w:eastAsia="Times New Roman" w:hAnsi="Times New Roman" w:cs="Times New Roman"/>
          <w:i/>
        </w:rPr>
      </w:pPr>
      <w:r>
        <w:rPr>
          <w:rFonts w:ascii="Times New Roman" w:eastAsia="Times New Roman" w:hAnsi="Times New Roman" w:cs="Times New Roman"/>
          <w:i/>
        </w:rPr>
        <w:t>Fuente:  Corazones productivos SDDE-ODEB, CCB y Google Maps. Elaboración SDDE-ODEB</w:t>
      </w:r>
    </w:p>
    <w:p w14:paraId="439B494C"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Por otro lado, sectores como la industria cultural en La Estrada (28,0%), San Felipe (27,0%) y Restrepo - La Valvanera (26,9%) presentan cifras ligeramente inferiores pero aún preocupantes. La informalidad en estos sectores puede estar relacionada con la falta de incentivos específicos para emprendedores creativos y la dificultad de acceder a líneas de financiamiento formal.</w:t>
      </w:r>
    </w:p>
    <w:p w14:paraId="3757C3CC"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En contraste, las tasas más bajas de informalidad se encuentran en los sectores de software en Chicó (24,0%), joyeros en La Candelaria (24,8%), y Venecia - La Alquería (21,4%), siendo el 7 de Agosto el sector con el menor porcentaje de informalidad (21,2%). Estas cifras sugieren que, en estos sectores, las empresas tienen mayores facilidades para cumplir con los requisitos de formalización, ya sea por el acceso a redes empresariales, incentivos fiscales o una mayor cultura de legalidad.</w:t>
      </w:r>
    </w:p>
    <w:p w14:paraId="3CFF451F"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 xml:space="preserve">Estos datos evidencian la necesidad de diseñar estrategías diferenciadas para fomentar la formalización empresarial según las particularidades de cada sector y territorio. Mientras algunos sectores requieren incentivos económicos y acceso a financiamiento, otros pueden beneficiarse de procesos administrativos más ágiles o programas de capacitación. </w:t>
      </w:r>
    </w:p>
    <w:p w14:paraId="280B9233"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 xml:space="preserve">Las empresas informales enfrentan múltiples barreras legales, dado que no cuentan con protección jurídica ni reconocimiento oficial. De acuerdo con la </w:t>
      </w:r>
      <w:r>
        <w:rPr>
          <w:rFonts w:ascii="Times New Roman" w:eastAsia="Times New Roman" w:hAnsi="Times New Roman" w:cs="Times New Roman"/>
          <w:b/>
        </w:rPr>
        <w:t>Ley 1429 de 2010</w:t>
      </w:r>
      <w:r>
        <w:rPr>
          <w:rFonts w:ascii="Times New Roman" w:eastAsia="Times New Roman" w:hAnsi="Times New Roman" w:cs="Times New Roman"/>
        </w:rPr>
        <w:t>, conocida como la Ley de Formalización y Generación de Empleo, las empresas formales pueden acceder a beneficios como reducción progresiva en el pago de impuestos y exenciones en costos de matrícula mercantil. No obstante, las empresas informales quedan excluidas de estos incentivos, lo que dificulta su consolidación en el mercado.</w:t>
      </w:r>
    </w:p>
    <w:p w14:paraId="5EF4837F"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 xml:space="preserve">Además, la informalidad conlleva riesgos legales, como la imposibilidad de hacer valer contratos ante la ley y la exposición a sanciones por parte de entidades reguladoras. La </w:t>
      </w:r>
      <w:r>
        <w:rPr>
          <w:rFonts w:ascii="Times New Roman" w:eastAsia="Times New Roman" w:hAnsi="Times New Roman" w:cs="Times New Roman"/>
          <w:b/>
        </w:rPr>
        <w:t>Dirección de Impuestos y Aduanas Nacionales (DIAN)</w:t>
      </w:r>
      <w:r>
        <w:rPr>
          <w:rFonts w:ascii="Times New Roman" w:eastAsia="Times New Roman" w:hAnsi="Times New Roman" w:cs="Times New Roman"/>
        </w:rPr>
        <w:t xml:space="preserve"> ha implementado estrategias para reducir la evasión tributaria y fomentar la formalización, señalando que una mayor fiscalización y control sobre el comercio informal es fundamental para fortalecer el recaudo fiscal y garantizar una competencia equitativa en el mercado.</w:t>
      </w:r>
    </w:p>
    <w:p w14:paraId="65657839"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Desde el punto de vista económico, la informalidad afecta la productividad y el crecimiento del país. En Bogotá los emprendimientos que nacen en la informalidad, se les impide su acceso a créditos bancarios y limita su capacidad de inversión y expansión. En contraste, las empresas formales pueden participar en licitaciones públicas, establecer relaciones comerciales con otras empresas y recibir apoyo gubernamental.</w:t>
      </w:r>
    </w:p>
    <w:p w14:paraId="00C221CA"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 xml:space="preserve">Asimismo, la informalidad empresarial está relacionada con la vulnerabilidad económica, ya que los negocios informales son más propensos a cerrar ante crisis económicas o cambios en el entorno regulatorio. Durante la pandemia del COVID-19, el </w:t>
      </w:r>
      <w:r>
        <w:rPr>
          <w:rFonts w:ascii="Times New Roman" w:eastAsia="Times New Roman" w:hAnsi="Times New Roman" w:cs="Times New Roman"/>
          <w:b/>
        </w:rPr>
        <w:t>Departamento Administrativo Nacional de Estadística (DANE)</w:t>
      </w:r>
      <w:r>
        <w:rPr>
          <w:rFonts w:ascii="Times New Roman" w:eastAsia="Times New Roman" w:hAnsi="Times New Roman" w:cs="Times New Roman"/>
        </w:rPr>
        <w:t xml:space="preserve"> reportó que aproximadamente 427.800 micronegocios en Colombia cesaron sus operaciones</w:t>
      </w:r>
      <w:r>
        <w:rPr>
          <w:rFonts w:ascii="Times New Roman" w:eastAsia="Times New Roman" w:hAnsi="Times New Roman" w:cs="Times New Roman"/>
          <w:vertAlign w:val="superscript"/>
        </w:rPr>
        <w:footnoteReference w:id="8"/>
      </w:r>
      <w:r>
        <w:rPr>
          <w:rFonts w:ascii="Times New Roman" w:eastAsia="Times New Roman" w:hAnsi="Times New Roman" w:cs="Times New Roman"/>
        </w:rPr>
        <w:t>, debido a la falta de apoyo financiero y medidas de alivio económico.</w:t>
      </w:r>
    </w:p>
    <w:p w14:paraId="3296F842"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 xml:space="preserve">Para disminuir la informalidad, el gobierno colombiano ha implementado diversas estrategias, como la simplificación de trámites para la formalización, la reducción de costos de inscripción en la Cámara de Comercio y la digitalización de procesos administrativos. Programas como </w:t>
      </w:r>
      <w:r>
        <w:rPr>
          <w:rFonts w:ascii="Times New Roman" w:eastAsia="Times New Roman" w:hAnsi="Times New Roman" w:cs="Times New Roman"/>
          <w:b/>
        </w:rPr>
        <w:t>"Apoyo a la Política de Formalización Empresarial"</w:t>
      </w:r>
      <w:r>
        <w:rPr>
          <w:rFonts w:ascii="Times New Roman" w:eastAsia="Times New Roman" w:hAnsi="Times New Roman" w:cs="Times New Roman"/>
        </w:rPr>
        <w:t xml:space="preserve">, liderado por el </w:t>
      </w:r>
      <w:r>
        <w:rPr>
          <w:rFonts w:ascii="Times New Roman" w:eastAsia="Times New Roman" w:hAnsi="Times New Roman" w:cs="Times New Roman"/>
          <w:b/>
        </w:rPr>
        <w:t>Ministerio de Comercio, Industria y Turismo</w:t>
      </w:r>
      <w:r>
        <w:rPr>
          <w:rFonts w:ascii="Times New Roman" w:eastAsia="Times New Roman" w:hAnsi="Times New Roman" w:cs="Times New Roman"/>
        </w:rPr>
        <w:t>, han facilitado la transición de más de 57.520 empresas hacia la formalidad en 657 municipios del país.</w:t>
      </w:r>
    </w:p>
    <w:p w14:paraId="64BEC674"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 xml:space="preserve">Adicionalmente, la educación financiera y el acceso a crédito han demostrado ser herramientas clave para incentivar la formalización. Entidades como </w:t>
      </w:r>
      <w:r>
        <w:rPr>
          <w:rFonts w:ascii="Times New Roman" w:eastAsia="Times New Roman" w:hAnsi="Times New Roman" w:cs="Times New Roman"/>
          <w:b/>
        </w:rPr>
        <w:t>Bancóldex</w:t>
      </w:r>
      <w:r>
        <w:rPr>
          <w:rFonts w:ascii="Times New Roman" w:eastAsia="Times New Roman" w:hAnsi="Times New Roman" w:cs="Times New Roman"/>
        </w:rPr>
        <w:t xml:space="preserve"> y el </w:t>
      </w:r>
      <w:r>
        <w:rPr>
          <w:rFonts w:ascii="Times New Roman" w:eastAsia="Times New Roman" w:hAnsi="Times New Roman" w:cs="Times New Roman"/>
          <w:b/>
        </w:rPr>
        <w:t>Fondo Nacional de Garantías</w:t>
      </w:r>
      <w:r>
        <w:rPr>
          <w:rFonts w:ascii="Times New Roman" w:eastAsia="Times New Roman" w:hAnsi="Times New Roman" w:cs="Times New Roman"/>
        </w:rPr>
        <w:t xml:space="preserve"> han diseñado líneas de crédito especiales para MiPymes en proceso de formalización, permitiéndoles acceder a capital de trabajo y expandir sus operaciones de manera sostenible.</w:t>
      </w:r>
    </w:p>
    <w:p w14:paraId="05D04A9D"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La formalidad e informalidad en el sector empresarial son dos realidades que determinan el desarrollo económico y social del país. Mientras que la formalización ofrece estabilidad, acceso a financiamiento y protección legal, la informalidad limita las oportunidades de crecimiento y genera riesgos tanto para los empresarios como para sus trabajadores. Reducir los niveles de informalidad requiere un esfuerzo conjunto entre el gobierno, las entidades financieras y el sector privado para crear un entorno más favorable para la formalización de las MiPymes en Colombia.</w:t>
      </w:r>
    </w:p>
    <w:p w14:paraId="22CB2B93" w14:textId="77777777" w:rsidR="00C928E4" w:rsidRDefault="00C2041E">
      <w:pPr>
        <w:numPr>
          <w:ilvl w:val="0"/>
          <w:numId w:val="3"/>
        </w:numPr>
        <w:spacing w:before="240" w:after="240" w:line="276" w:lineRule="auto"/>
        <w:jc w:val="both"/>
        <w:rPr>
          <w:rFonts w:ascii="Times New Roman" w:eastAsia="Times New Roman" w:hAnsi="Times New Roman" w:cs="Times New Roman"/>
          <w:b/>
        </w:rPr>
      </w:pPr>
      <w:r>
        <w:rPr>
          <w:rFonts w:ascii="Times New Roman" w:eastAsia="Times New Roman" w:hAnsi="Times New Roman" w:cs="Times New Roman"/>
          <w:b/>
        </w:rPr>
        <w:t>Programas distritales para la formalización empresarial</w:t>
      </w:r>
    </w:p>
    <w:p w14:paraId="67536544"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En Bogotá, la formalización de las micro, pequeñas y medianas empresas (MiPymes) es una prioridad para el desarrollo económico y social de la ciudad. Diversas entidades distritales han implementado programas e iniciativas que buscan facilitar este proceso, brindando a los empresarios herramientas y beneficios para integrarse plenamente en la economía formal.</w:t>
      </w:r>
    </w:p>
    <w:p w14:paraId="0560CAC2"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 xml:space="preserve">La </w:t>
      </w:r>
      <w:r>
        <w:rPr>
          <w:rFonts w:ascii="Times New Roman" w:eastAsia="Times New Roman" w:hAnsi="Times New Roman" w:cs="Times New Roman"/>
          <w:b/>
        </w:rPr>
        <w:t>Secretaría Distrital de Desarrollo Económico (SDDE)</w:t>
      </w:r>
      <w:r>
        <w:rPr>
          <w:rFonts w:ascii="Times New Roman" w:eastAsia="Times New Roman" w:hAnsi="Times New Roman" w:cs="Times New Roman"/>
        </w:rPr>
        <w:t xml:space="preserve"> lidera varias de estas iniciativas. Una de ellas es el programa </w:t>
      </w:r>
      <w:r>
        <w:rPr>
          <w:rFonts w:ascii="Times New Roman" w:eastAsia="Times New Roman" w:hAnsi="Times New Roman" w:cs="Times New Roman"/>
          <w:b/>
        </w:rPr>
        <w:t>"Microempresa Local 3.0"</w:t>
      </w:r>
      <w:r>
        <w:rPr>
          <w:rFonts w:ascii="Times New Roman" w:eastAsia="Times New Roman" w:hAnsi="Times New Roman" w:cs="Times New Roman"/>
          <w:b/>
          <w:vertAlign w:val="superscript"/>
        </w:rPr>
        <w:footnoteReference w:id="9"/>
      </w:r>
      <w:r>
        <w:rPr>
          <w:rFonts w:ascii="Times New Roman" w:eastAsia="Times New Roman" w:hAnsi="Times New Roman" w:cs="Times New Roman"/>
        </w:rPr>
        <w:t>, que ofrece incentivos económicos de hasta 8 millones de pesos a microempresarios de localidades como Ciudad Bolívar, Bosa, San Cristóbal, Kennedy, Teusaquillo, Santa Fe, Suba y Usaquén. Estos fondos pueden destinarse a capital de trabajo o a cubrir costos asociados a la formalización del negocio.</w:t>
      </w:r>
    </w:p>
    <w:p w14:paraId="6D4F1AEA"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 xml:space="preserve">Además, la SDDE, en alianza con Bancóldex, ha desarrollado la estrategia de líneas de crédito </w:t>
      </w:r>
      <w:r>
        <w:rPr>
          <w:rFonts w:ascii="Times New Roman" w:eastAsia="Times New Roman" w:hAnsi="Times New Roman" w:cs="Times New Roman"/>
          <w:b/>
        </w:rPr>
        <w:t>"Bogotá Al Punto"</w:t>
      </w:r>
      <w:r>
        <w:rPr>
          <w:rFonts w:ascii="Times New Roman" w:eastAsia="Times New Roman" w:hAnsi="Times New Roman" w:cs="Times New Roman"/>
          <w:b/>
          <w:vertAlign w:val="superscript"/>
        </w:rPr>
        <w:footnoteReference w:id="10"/>
      </w:r>
      <w:r>
        <w:rPr>
          <w:rFonts w:ascii="Times New Roman" w:eastAsia="Times New Roman" w:hAnsi="Times New Roman" w:cs="Times New Roman"/>
        </w:rPr>
        <w:t>. Esta iniciativa ofrece a las empresas y pymes acceso a financiamiento formal con condiciones favorables, incluyendo tasas de interés competitivas, montos de hasta 600 millones de pesos y plazos de pago flexibles. ​</w:t>
      </w:r>
    </w:p>
    <w:p w14:paraId="0EC863D2"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 xml:space="preserve">Para fortalecer las capacidades empresariales, la SDDE, en colaboración con Tecnalia Colombia, lanzó el programa </w:t>
      </w:r>
      <w:r>
        <w:rPr>
          <w:rFonts w:ascii="Times New Roman" w:eastAsia="Times New Roman" w:hAnsi="Times New Roman" w:cs="Times New Roman"/>
          <w:b/>
        </w:rPr>
        <w:t>"Entorno"</w:t>
      </w:r>
      <w:r>
        <w:rPr>
          <w:rFonts w:ascii="Times New Roman" w:eastAsia="Times New Roman" w:hAnsi="Times New Roman" w:cs="Times New Roman"/>
          <w:b/>
          <w:vertAlign w:val="superscript"/>
        </w:rPr>
        <w:footnoteReference w:id="11"/>
      </w:r>
      <w:r>
        <w:rPr>
          <w:rFonts w:ascii="Times New Roman" w:eastAsia="Times New Roman" w:hAnsi="Times New Roman" w:cs="Times New Roman"/>
        </w:rPr>
        <w:t>. Este ofrece asesorías especializadas a las MiPymes bogotanas, enfocándose en sostenibilidad, reconfiguración y fortalecimiento de modelos de negocio, con el objetivo de mejorar su adaptabilidad en entornos cambiantes.</w:t>
      </w:r>
    </w:p>
    <w:p w14:paraId="38AA167A"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 xml:space="preserve">Por su parte, la </w:t>
      </w:r>
      <w:r>
        <w:rPr>
          <w:rFonts w:ascii="Times New Roman" w:eastAsia="Times New Roman" w:hAnsi="Times New Roman" w:cs="Times New Roman"/>
          <w:b/>
        </w:rPr>
        <w:t>Secretaría Distrital de Hacienda</w:t>
      </w:r>
      <w:r>
        <w:rPr>
          <w:rFonts w:ascii="Times New Roman" w:eastAsia="Times New Roman" w:hAnsi="Times New Roman" w:cs="Times New Roman"/>
        </w:rPr>
        <w:t xml:space="preserve"> promueve la </w:t>
      </w:r>
      <w:r>
        <w:rPr>
          <w:rFonts w:ascii="Times New Roman" w:eastAsia="Times New Roman" w:hAnsi="Times New Roman" w:cs="Times New Roman"/>
          <w:b/>
        </w:rPr>
        <w:t>"Ruta de la Formalización Empresarial"</w:t>
      </w:r>
      <w:r>
        <w:rPr>
          <w:rFonts w:ascii="Times New Roman" w:eastAsia="Times New Roman" w:hAnsi="Times New Roman" w:cs="Times New Roman"/>
        </w:rPr>
        <w:t xml:space="preserve">, que guía a los emprendedores a través de los trámites necesarios para formalizar su negocio, facilitando el cumplimiento de obligaciones tributarias y legales. Asimismo, impulsa el </w:t>
      </w:r>
      <w:r>
        <w:rPr>
          <w:rFonts w:ascii="Times New Roman" w:eastAsia="Times New Roman" w:hAnsi="Times New Roman" w:cs="Times New Roman"/>
          <w:b/>
        </w:rPr>
        <w:t>Régimen Simple de Tributación (RST)</w:t>
      </w:r>
      <w:r>
        <w:rPr>
          <w:rFonts w:ascii="Times New Roman" w:eastAsia="Times New Roman" w:hAnsi="Times New Roman" w:cs="Times New Roman"/>
          <w:b/>
          <w:vertAlign w:val="superscript"/>
        </w:rPr>
        <w:footnoteReference w:id="12"/>
      </w:r>
      <w:r>
        <w:rPr>
          <w:rFonts w:ascii="Times New Roman" w:eastAsia="Times New Roman" w:hAnsi="Times New Roman" w:cs="Times New Roman"/>
        </w:rPr>
        <w:t>, un mecanismo que simplifica el pago de impuestos y reduce cargas formales, incentivando la formalización laboral y empresarial en la ciudad. ​</w:t>
      </w:r>
    </w:p>
    <w:p w14:paraId="702D2015"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Estas iniciativas reflejan el compromiso de las entidades distritales por crear un entorno favorable para la formalización de las MiPymes en Bogotá, facilitando su acceso a beneficios económicos, legales y de crecimiento sostenible.</w:t>
      </w:r>
    </w:p>
    <w:p w14:paraId="0E34B6B3" w14:textId="77777777" w:rsidR="00C928E4" w:rsidRDefault="00C2041E">
      <w:pPr>
        <w:numPr>
          <w:ilvl w:val="0"/>
          <w:numId w:val="3"/>
        </w:numPr>
        <w:spacing w:before="240" w:after="240" w:line="276" w:lineRule="auto"/>
        <w:jc w:val="both"/>
        <w:rPr>
          <w:rFonts w:ascii="Times New Roman" w:eastAsia="Times New Roman" w:hAnsi="Times New Roman" w:cs="Times New Roman"/>
          <w:b/>
        </w:rPr>
      </w:pPr>
      <w:r>
        <w:rPr>
          <w:rFonts w:ascii="Times New Roman" w:eastAsia="Times New Roman" w:hAnsi="Times New Roman" w:cs="Times New Roman"/>
          <w:b/>
        </w:rPr>
        <w:t>Retos en la formalización de las MiPymes</w:t>
      </w:r>
    </w:p>
    <w:p w14:paraId="1751A841"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La formalización de las micro, pequeñas y medianas empresas (MiPymes) es un proceso lleno de desafíos que, en muchos casos, se convierte en un obstáculo insalvable para miles de emprendedores en Bogotá y en el resto del país. Aunque la formalidad ofrece múltiples beneficios, como acceso a financiamiento, mayor seguridad jurídica y oportunidades de crecimiento, el camino para alcanzarla no siempre es sencillo.</w:t>
      </w:r>
    </w:p>
    <w:p w14:paraId="32B07412"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Uno de los principales desafíos que enfrentan los empresarios es la excesiva burocracia. El registro formal de una empresa en Colombia implica una serie de trámites ante la Cámara de Comercio, la DIAN y otras entidades gubernamentales. Estos procesos pueden resultar confusos y desgastantes para quienes no cuentan con experiencia en temas administrativos. Para un pequeño emprendedor que dedica la mayor parte de su tiempo a la operación diaria de su negocio, navegar entre formularios, requisitos y documentos se convierte en una tarea desalentadora.</w:t>
      </w:r>
    </w:p>
    <w:p w14:paraId="3661A1B1"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A esto se suma el costo económico de la formalización. Inscribir una empresa implica asumir gastos en registros, certificados, pagos de impuestos y costos laborales. Para muchas MiPymes, especialmente aquellas que están en su etapa inicial, estos montos pueden ser inalcanzables. En muchos casos, los emprendedores optan por permanecer en la informalidad no por elección, sino por necesidad, ya que el capital con el que cuentan apenas les permite mantener su operación a flote.</w:t>
      </w:r>
    </w:p>
    <w:p w14:paraId="5A84E442"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Otro de los grandes retos es el difícil acceso al financiamiento. Si bien la formalización es un requisito indispensable para obtener créditos empresariales, muchas MiPymes no logran cumplir con las exigencias de los bancos y entidades financieras. La falta de historial crediticio, la ausencia de garantías y los altos intereses desmotivan a los pequeños empresarios a buscar financiamiento formal, lo que los obliga a recurrir a métodos informales de crédito, como préstamos entre familiares o prestamistas que imponen condiciones poco favorables.</w:t>
      </w:r>
    </w:p>
    <w:p w14:paraId="37359377"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Por otro lado, la carga impositiva también representa una barrera significativa. Aunque existen programas como el Régimen Simple de Tributación (RST) que buscan aliviar la presión fiscal sobre los pequeños empresarios, muchos de ellos perciben los impuestos como una carga excesiva que afecta directamente su rentabilidad. La falta de educación financiera y tributaria agrava aún más la situación, generando temor e incertidumbre entre quienes consideran dar el paso hacia la formalización.</w:t>
      </w:r>
    </w:p>
    <w:p w14:paraId="1D670DC1"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Finalmente, se encuentra la resistencia cultural al cambio. En muchos sectores, la informalidad se ha convertido en la norma, transmitiéndose de generación en generación como el modelo tradicional de negocio. Romper con esta mentalidad y convencer a los emprendedores de que la formalización es un paso clave para el crecimiento y la estabilidad de su empresa requiere un esfuerzo conjunto entre el Estado, el sector privado y la academia.</w:t>
      </w:r>
    </w:p>
    <w:p w14:paraId="15877092"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Superar estos retos es fundamental para fortalecer el tejido empresarial de la ciudad y el país. Si bien se han implementado diversas estrategias para incentivar la formalización, aún queda un largo camino por recorrer. Es necesario simplificar trámites, reducir costos, mejorar el acceso a financiamiento y fortalecer los programas de acompañamiento para los empresarios. Solo así se logrará que más MiPymes den el paso hacia la formalidad y aprovechen los beneficios de un entorno empresarial sólido y estructurado.</w:t>
      </w:r>
    </w:p>
    <w:p w14:paraId="07F64126" w14:textId="77777777" w:rsidR="00C928E4" w:rsidRDefault="00C928E4">
      <w:pPr>
        <w:pBdr>
          <w:top w:val="nil"/>
          <w:left w:val="nil"/>
          <w:bottom w:val="nil"/>
          <w:right w:val="nil"/>
          <w:between w:val="nil"/>
        </w:pBdr>
        <w:jc w:val="both"/>
        <w:rPr>
          <w:rFonts w:ascii="Times New Roman" w:eastAsia="Times New Roman" w:hAnsi="Times New Roman" w:cs="Times New Roman"/>
          <w:b/>
        </w:rPr>
      </w:pPr>
    </w:p>
    <w:p w14:paraId="0D2DF373" w14:textId="77777777" w:rsidR="00C928E4" w:rsidRDefault="00C2041E">
      <w:pPr>
        <w:pBdr>
          <w:top w:val="nil"/>
          <w:left w:val="nil"/>
          <w:bottom w:val="nil"/>
          <w:right w:val="nil"/>
          <w:between w:val="nil"/>
        </w:pBdr>
        <w:jc w:val="center"/>
        <w:rPr>
          <w:rFonts w:ascii="Times New Roman" w:eastAsia="Times New Roman" w:hAnsi="Times New Roman" w:cs="Times New Roman"/>
          <w:b/>
        </w:rPr>
      </w:pPr>
      <w:r>
        <w:rPr>
          <w:rFonts w:ascii="Times New Roman" w:eastAsia="Times New Roman" w:hAnsi="Times New Roman" w:cs="Times New Roman"/>
          <w:b/>
          <w:noProof/>
          <w:lang w:val="es-CO"/>
        </w:rPr>
        <w:drawing>
          <wp:inline distT="114300" distB="114300" distL="114300" distR="114300" wp14:anchorId="3B36A1C8" wp14:editId="39E93978">
            <wp:extent cx="3552825" cy="2752079"/>
            <wp:effectExtent l="0" t="0" r="0" b="0"/>
            <wp:docPr id="2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
                    <a:srcRect/>
                    <a:stretch>
                      <a:fillRect/>
                    </a:stretch>
                  </pic:blipFill>
                  <pic:spPr>
                    <a:xfrm>
                      <a:off x="0" y="0"/>
                      <a:ext cx="3552825" cy="2752079"/>
                    </a:xfrm>
                    <a:prstGeom prst="rect">
                      <a:avLst/>
                    </a:prstGeom>
                    <a:ln/>
                  </pic:spPr>
                </pic:pic>
              </a:graphicData>
            </a:graphic>
          </wp:inline>
        </w:drawing>
      </w:r>
    </w:p>
    <w:p w14:paraId="36E12F6F" w14:textId="77777777" w:rsidR="00C928E4" w:rsidRDefault="00C928E4">
      <w:pPr>
        <w:jc w:val="both"/>
        <w:rPr>
          <w:rFonts w:ascii="Times New Roman" w:eastAsia="Times New Roman" w:hAnsi="Times New Roman" w:cs="Times New Roman"/>
          <w:b/>
        </w:rPr>
      </w:pPr>
    </w:p>
    <w:p w14:paraId="77E5990D" w14:textId="77777777" w:rsidR="00C928E4" w:rsidRDefault="00C928E4">
      <w:pPr>
        <w:jc w:val="both"/>
        <w:rPr>
          <w:rFonts w:ascii="Times New Roman" w:eastAsia="Times New Roman" w:hAnsi="Times New Roman" w:cs="Times New Roman"/>
        </w:rPr>
      </w:pPr>
    </w:p>
    <w:p w14:paraId="3E2D7EDC" w14:textId="77777777" w:rsidR="00C928E4" w:rsidRDefault="00C928E4">
      <w:pPr>
        <w:ind w:left="360"/>
        <w:jc w:val="both"/>
        <w:rPr>
          <w:rFonts w:ascii="Times New Roman" w:eastAsia="Times New Roman" w:hAnsi="Times New Roman" w:cs="Times New Roman"/>
        </w:rPr>
      </w:pPr>
    </w:p>
    <w:p w14:paraId="72689091" w14:textId="77777777" w:rsidR="00C928E4" w:rsidRDefault="00C2041E">
      <w:pPr>
        <w:numPr>
          <w:ilvl w:val="0"/>
          <w:numId w:val="7"/>
        </w:numPr>
        <w:pBdr>
          <w:top w:val="nil"/>
          <w:left w:val="nil"/>
          <w:bottom w:val="nil"/>
          <w:right w:val="nil"/>
          <w:between w:val="nil"/>
        </w:pBdr>
        <w:jc w:val="both"/>
        <w:rPr>
          <w:rFonts w:ascii="Times New Roman" w:eastAsia="Times New Roman" w:hAnsi="Times New Roman" w:cs="Times New Roman"/>
        </w:rPr>
      </w:pPr>
      <w:r>
        <w:rPr>
          <w:rFonts w:ascii="Times New Roman" w:eastAsia="Times New Roman" w:hAnsi="Times New Roman" w:cs="Times New Roman"/>
          <w:b/>
        </w:rPr>
        <w:t>CONTRIBUCIÓN A LOS OBJETIVO DE DESARROLLO SOSTENIBLE (ODS)</w:t>
      </w:r>
    </w:p>
    <w:p w14:paraId="307EF1EE" w14:textId="77777777" w:rsidR="00C928E4" w:rsidRDefault="00C928E4">
      <w:pPr>
        <w:pBdr>
          <w:top w:val="nil"/>
          <w:left w:val="nil"/>
          <w:bottom w:val="nil"/>
          <w:right w:val="nil"/>
          <w:between w:val="nil"/>
        </w:pBdr>
        <w:jc w:val="both"/>
        <w:rPr>
          <w:rFonts w:ascii="Times New Roman" w:eastAsia="Times New Roman" w:hAnsi="Times New Roman" w:cs="Times New Roman"/>
          <w:b/>
        </w:rPr>
      </w:pPr>
    </w:p>
    <w:p w14:paraId="1113F6A1" w14:textId="77777777" w:rsidR="00C928E4" w:rsidRDefault="00C2041E">
      <w:pPr>
        <w:pBdr>
          <w:top w:val="nil"/>
          <w:left w:val="nil"/>
          <w:bottom w:val="nil"/>
          <w:right w:val="nil"/>
          <w:between w:val="nil"/>
        </w:pBdr>
        <w:jc w:val="both"/>
        <w:rPr>
          <w:rFonts w:ascii="Times New Roman" w:eastAsia="Times New Roman" w:hAnsi="Times New Roman" w:cs="Times New Roman"/>
          <w:b/>
          <w:i/>
        </w:rPr>
      </w:pPr>
      <w:r>
        <w:rPr>
          <w:rFonts w:ascii="Times New Roman" w:eastAsia="Times New Roman" w:hAnsi="Times New Roman" w:cs="Times New Roman"/>
          <w:b/>
          <w:i/>
        </w:rPr>
        <w:t>Objetivo 8: Promover el crecimiento económico inclusivo y sostenible, el empleo y el trabajo decente para todos</w:t>
      </w:r>
    </w:p>
    <w:p w14:paraId="45E936AF" w14:textId="77777777" w:rsidR="00C928E4" w:rsidRDefault="00C928E4">
      <w:pPr>
        <w:pBdr>
          <w:top w:val="nil"/>
          <w:left w:val="nil"/>
          <w:bottom w:val="nil"/>
          <w:right w:val="nil"/>
          <w:between w:val="nil"/>
        </w:pBdr>
        <w:jc w:val="both"/>
        <w:rPr>
          <w:rFonts w:ascii="Times New Roman" w:eastAsia="Times New Roman" w:hAnsi="Times New Roman" w:cs="Times New Roman"/>
          <w:b/>
          <w:i/>
        </w:rPr>
      </w:pPr>
    </w:p>
    <w:p w14:paraId="1EE3BA42" w14:textId="77777777" w:rsidR="00C928E4" w:rsidRDefault="00C2041E">
      <w:pPr>
        <w:pBdr>
          <w:top w:val="nil"/>
          <w:left w:val="nil"/>
          <w:bottom w:val="nil"/>
          <w:right w:val="nil"/>
          <w:between w:val="nil"/>
        </w:pBdr>
        <w:jc w:val="both"/>
        <w:rPr>
          <w:rFonts w:ascii="Times New Roman" w:eastAsia="Times New Roman" w:hAnsi="Times New Roman" w:cs="Times New Roman"/>
          <w:i/>
        </w:rPr>
      </w:pPr>
      <w:r>
        <w:rPr>
          <w:rFonts w:ascii="Times New Roman" w:eastAsia="Times New Roman" w:hAnsi="Times New Roman" w:cs="Times New Roman"/>
          <w:i/>
        </w:rPr>
        <w:t>8.3. Promover políticas orientadas al desarrollo que apoyen las actividades productivas, la creación de puestos de trabajo decentes, el emprendimiento, la creatividad y la innovación, y fomentar la formalización y el crecimiento de las microempresas y las pequeñas y medianas empresas, incluso mediante el acceso a servicios financieros</w:t>
      </w:r>
    </w:p>
    <w:p w14:paraId="216D31EC" w14:textId="77777777" w:rsidR="00C928E4" w:rsidRDefault="00C928E4">
      <w:pPr>
        <w:pBdr>
          <w:top w:val="nil"/>
          <w:left w:val="nil"/>
          <w:bottom w:val="nil"/>
          <w:right w:val="nil"/>
          <w:between w:val="nil"/>
        </w:pBdr>
        <w:jc w:val="both"/>
        <w:rPr>
          <w:rFonts w:ascii="Times New Roman" w:eastAsia="Times New Roman" w:hAnsi="Times New Roman" w:cs="Times New Roman"/>
          <w:i/>
        </w:rPr>
      </w:pPr>
    </w:p>
    <w:p w14:paraId="7520EA32" w14:textId="77777777" w:rsidR="00C928E4" w:rsidRDefault="00C2041E">
      <w:pPr>
        <w:pBdr>
          <w:top w:val="nil"/>
          <w:left w:val="nil"/>
          <w:bottom w:val="nil"/>
          <w:right w:val="nil"/>
          <w:between w:val="nil"/>
        </w:pBdr>
        <w:jc w:val="both"/>
        <w:rPr>
          <w:rFonts w:ascii="Times New Roman" w:eastAsia="Times New Roman" w:hAnsi="Times New Roman" w:cs="Times New Roman"/>
        </w:rPr>
      </w:pPr>
      <w:r>
        <w:rPr>
          <w:rFonts w:ascii="Times New Roman" w:eastAsia="Times New Roman" w:hAnsi="Times New Roman" w:cs="Times New Roman"/>
        </w:rPr>
        <w:t>Este proyecto busca mejorar el emprendimiento en el sector de las MIPYMES, fortaleciendo su capacidad de generación de ingresos y consolidación en el mercado. Actualmente, el 51,8 % de las MIPYMES encuestadas reportaron ingresos mensuales superiores a $3.600.000, lo que demuestra que una gran parte de estos negocios han logrado estabilidad y crecimiento económico. Sin embargo, aún existe un 11,6 % con ingresos inferiores a $1.200.000, lo que evidencia la necesidad de estrategias que impulsen su desarrollo. Al fomentar el emprendimiento, se generan más oportunidades laborales, se fortalece la autonomía financiera de los emprendedores y se dinamiza la economía local, promoviendo un ecosistema empresarial más sólido e inclusivo.</w:t>
      </w:r>
    </w:p>
    <w:p w14:paraId="0AC57A9A" w14:textId="77777777" w:rsidR="00C928E4" w:rsidRDefault="00C928E4">
      <w:pPr>
        <w:pBdr>
          <w:top w:val="nil"/>
          <w:left w:val="nil"/>
          <w:bottom w:val="nil"/>
          <w:right w:val="nil"/>
          <w:between w:val="nil"/>
        </w:pBdr>
        <w:jc w:val="both"/>
        <w:rPr>
          <w:rFonts w:ascii="Times New Roman" w:eastAsia="Times New Roman" w:hAnsi="Times New Roman" w:cs="Times New Roman"/>
          <w:b/>
        </w:rPr>
      </w:pPr>
    </w:p>
    <w:p w14:paraId="54FD11ED" w14:textId="77777777" w:rsidR="00C928E4" w:rsidRDefault="00C928E4">
      <w:pPr>
        <w:pBdr>
          <w:top w:val="nil"/>
          <w:left w:val="nil"/>
          <w:bottom w:val="nil"/>
          <w:right w:val="nil"/>
          <w:between w:val="nil"/>
        </w:pBdr>
        <w:jc w:val="both"/>
        <w:rPr>
          <w:rFonts w:ascii="Times New Roman" w:eastAsia="Times New Roman" w:hAnsi="Times New Roman" w:cs="Times New Roman"/>
          <w:b/>
          <w:i/>
        </w:rPr>
      </w:pPr>
    </w:p>
    <w:p w14:paraId="0BA5A2D8" w14:textId="77777777" w:rsidR="00C928E4" w:rsidRDefault="00C2041E">
      <w:pPr>
        <w:pBdr>
          <w:top w:val="nil"/>
          <w:left w:val="nil"/>
          <w:bottom w:val="nil"/>
          <w:right w:val="nil"/>
          <w:between w:val="nil"/>
        </w:pBdr>
        <w:jc w:val="both"/>
        <w:rPr>
          <w:rFonts w:ascii="Times New Roman" w:eastAsia="Times New Roman" w:hAnsi="Times New Roman" w:cs="Times New Roman"/>
          <w:b/>
          <w:i/>
        </w:rPr>
      </w:pPr>
      <w:r>
        <w:rPr>
          <w:rFonts w:ascii="Times New Roman" w:eastAsia="Times New Roman" w:hAnsi="Times New Roman" w:cs="Times New Roman"/>
          <w:b/>
          <w:i/>
        </w:rPr>
        <w:t>Objetivo 5: Lograr la igualdad entre los géneros y empoderar a todas las mujeres y las niñas</w:t>
      </w:r>
    </w:p>
    <w:p w14:paraId="6C64E19A" w14:textId="77777777" w:rsidR="00C928E4" w:rsidRDefault="00C928E4">
      <w:pPr>
        <w:pBdr>
          <w:top w:val="nil"/>
          <w:left w:val="nil"/>
          <w:bottom w:val="nil"/>
          <w:right w:val="nil"/>
          <w:between w:val="nil"/>
        </w:pBdr>
        <w:jc w:val="both"/>
        <w:rPr>
          <w:rFonts w:ascii="Times New Roman" w:eastAsia="Times New Roman" w:hAnsi="Times New Roman" w:cs="Times New Roman"/>
          <w:i/>
        </w:rPr>
      </w:pPr>
    </w:p>
    <w:p w14:paraId="752FC66E" w14:textId="77777777" w:rsidR="00C928E4" w:rsidRDefault="00C2041E">
      <w:pPr>
        <w:pBdr>
          <w:top w:val="nil"/>
          <w:left w:val="nil"/>
          <w:bottom w:val="nil"/>
          <w:right w:val="nil"/>
          <w:between w:val="nil"/>
        </w:pBdr>
        <w:jc w:val="both"/>
        <w:rPr>
          <w:rFonts w:ascii="Times New Roman" w:eastAsia="Times New Roman" w:hAnsi="Times New Roman" w:cs="Times New Roman"/>
          <w:i/>
        </w:rPr>
      </w:pPr>
      <w:r>
        <w:rPr>
          <w:rFonts w:ascii="Times New Roman" w:eastAsia="Times New Roman" w:hAnsi="Times New Roman" w:cs="Times New Roman"/>
          <w:i/>
        </w:rPr>
        <w:t>5.c  Aprobar y fortalecer políticas acertadas y leyes aplicables para promover la igualdad de género y el gempoderamiento de todas las mujeres y las niñas a todos los niveles</w:t>
      </w:r>
    </w:p>
    <w:p w14:paraId="44DC62F8" w14:textId="77777777" w:rsidR="00C928E4" w:rsidRDefault="00C928E4">
      <w:pPr>
        <w:pBdr>
          <w:top w:val="nil"/>
          <w:left w:val="nil"/>
          <w:bottom w:val="nil"/>
          <w:right w:val="nil"/>
          <w:between w:val="nil"/>
        </w:pBdr>
        <w:jc w:val="both"/>
        <w:rPr>
          <w:rFonts w:ascii="Times New Roman" w:eastAsia="Times New Roman" w:hAnsi="Times New Roman" w:cs="Times New Roman"/>
        </w:rPr>
      </w:pPr>
    </w:p>
    <w:p w14:paraId="55CDAB6B" w14:textId="77777777" w:rsidR="00C928E4" w:rsidRDefault="00C2041E">
      <w:pPr>
        <w:pBdr>
          <w:top w:val="nil"/>
          <w:left w:val="nil"/>
          <w:bottom w:val="nil"/>
          <w:right w:val="nil"/>
          <w:between w:val="nil"/>
        </w:pBdr>
        <w:jc w:val="both"/>
        <w:rPr>
          <w:rFonts w:ascii="Times New Roman" w:eastAsia="Times New Roman" w:hAnsi="Times New Roman" w:cs="Times New Roman"/>
        </w:rPr>
      </w:pPr>
      <w:r>
        <w:rPr>
          <w:rFonts w:ascii="Times New Roman" w:eastAsia="Times New Roman" w:hAnsi="Times New Roman" w:cs="Times New Roman"/>
        </w:rPr>
        <w:t>El aumento de trabajadores en el sector de las MIPYMES contribuye a la reducción de la brecha de género al generar más oportunidades de empleo para las mujeres, cuya participación en este sector alcanzó el 42,0 %</w:t>
      </w:r>
      <w:r>
        <w:rPr>
          <w:rFonts w:ascii="Times New Roman" w:eastAsia="Times New Roman" w:hAnsi="Times New Roman" w:cs="Times New Roman"/>
          <w:vertAlign w:val="superscript"/>
        </w:rPr>
        <w:footnoteReference w:id="13"/>
      </w:r>
      <w:r>
        <w:rPr>
          <w:rFonts w:ascii="Times New Roman" w:eastAsia="Times New Roman" w:hAnsi="Times New Roman" w:cs="Times New Roman"/>
        </w:rPr>
        <w:t xml:space="preserve"> en junio de 2024. Las MIPYMES ofrecen mayor flexibilidad laboral, permitiendo la conciliación entre el trabajo y la vida personal, lo que facilita la incorporación y permanencia de las mujeres en el mercado laboral. Además, impulsan el emprendimiento femenino, promueven una menor brecha salarial y diversifican la participación de las mujeres en sectores tradicionalmente masculinizados.</w:t>
      </w:r>
    </w:p>
    <w:p w14:paraId="4E361438" w14:textId="77777777" w:rsidR="00C928E4" w:rsidRDefault="00C928E4">
      <w:pPr>
        <w:pBdr>
          <w:top w:val="nil"/>
          <w:left w:val="nil"/>
          <w:bottom w:val="nil"/>
          <w:right w:val="nil"/>
          <w:between w:val="nil"/>
        </w:pBdr>
        <w:jc w:val="both"/>
        <w:rPr>
          <w:rFonts w:ascii="Times New Roman" w:eastAsia="Times New Roman" w:hAnsi="Times New Roman" w:cs="Times New Roman"/>
        </w:rPr>
      </w:pPr>
    </w:p>
    <w:p w14:paraId="0BB274D9" w14:textId="77777777" w:rsidR="00C928E4" w:rsidRDefault="00C928E4">
      <w:pPr>
        <w:pBdr>
          <w:top w:val="nil"/>
          <w:left w:val="nil"/>
          <w:bottom w:val="nil"/>
          <w:right w:val="nil"/>
          <w:between w:val="nil"/>
        </w:pBdr>
        <w:rPr>
          <w:rFonts w:ascii="Times New Roman" w:eastAsia="Times New Roman" w:hAnsi="Times New Roman" w:cs="Times New Roman"/>
          <w:b/>
        </w:rPr>
      </w:pPr>
    </w:p>
    <w:p w14:paraId="58396DC4" w14:textId="77777777" w:rsidR="00C928E4" w:rsidRDefault="00C2041E">
      <w:pPr>
        <w:numPr>
          <w:ilvl w:val="0"/>
          <w:numId w:val="7"/>
        </w:numPr>
        <w:pBdr>
          <w:top w:val="nil"/>
          <w:left w:val="nil"/>
          <w:bottom w:val="nil"/>
          <w:right w:val="nil"/>
          <w:between w:val="nil"/>
        </w:pBdr>
        <w:jc w:val="both"/>
        <w:rPr>
          <w:rFonts w:ascii="Times New Roman" w:eastAsia="Times New Roman" w:hAnsi="Times New Roman" w:cs="Times New Roman"/>
        </w:rPr>
      </w:pPr>
      <w:r>
        <w:rPr>
          <w:rFonts w:ascii="Times New Roman" w:eastAsia="Times New Roman" w:hAnsi="Times New Roman" w:cs="Times New Roman"/>
          <w:b/>
        </w:rPr>
        <w:t>RELACIÓN CON EL PLAN DISTRITAL DE DESARROLLO “BOGOTÁ CAMINA SEGURA 2024-2027”</w:t>
      </w:r>
    </w:p>
    <w:p w14:paraId="2E34D63D" w14:textId="77777777" w:rsidR="00C928E4" w:rsidRDefault="00C928E4">
      <w:pPr>
        <w:pBdr>
          <w:top w:val="nil"/>
          <w:left w:val="nil"/>
          <w:bottom w:val="nil"/>
          <w:right w:val="nil"/>
          <w:between w:val="nil"/>
        </w:pBdr>
        <w:jc w:val="both"/>
        <w:rPr>
          <w:rFonts w:ascii="Times New Roman" w:eastAsia="Times New Roman" w:hAnsi="Times New Roman" w:cs="Times New Roman"/>
          <w:b/>
        </w:rPr>
      </w:pPr>
    </w:p>
    <w:p w14:paraId="3C0BBA6D" w14:textId="77777777" w:rsidR="00C928E4" w:rsidRDefault="00C2041E">
      <w:pPr>
        <w:pBdr>
          <w:top w:val="nil"/>
          <w:left w:val="nil"/>
          <w:bottom w:val="nil"/>
          <w:right w:val="nil"/>
          <w:between w:val="nil"/>
        </w:pBdr>
        <w:jc w:val="both"/>
        <w:rPr>
          <w:rFonts w:ascii="Times New Roman" w:eastAsia="Times New Roman" w:hAnsi="Times New Roman" w:cs="Times New Roman"/>
          <w:i/>
        </w:rPr>
      </w:pPr>
      <w:r>
        <w:rPr>
          <w:rFonts w:ascii="Times New Roman" w:eastAsia="Times New Roman" w:hAnsi="Times New Roman" w:cs="Times New Roman"/>
          <w:b/>
          <w:i/>
        </w:rPr>
        <w:t xml:space="preserve">12.5. Programa 20. Promoción del emprendimiento formal, equitativo e incluyente. </w:t>
      </w:r>
      <w:r>
        <w:rPr>
          <w:rFonts w:ascii="Times New Roman" w:eastAsia="Times New Roman" w:hAnsi="Times New Roman" w:cs="Times New Roman"/>
          <w:i/>
        </w:rPr>
        <w:t>El propósito del programa es garantizar la implementación de un Sistema Distrital de Apoyo al Emprendimiento, a través del cual se ofrecerán servicios de asistencia técnica, tecnológica y financiera para que las personas interesadas en emprender o que ya cuentan con una idea de negocio, la puedan materializar. Esto incluirá comerciantes informales con miras a llevarlos a la formalidad.</w:t>
      </w:r>
    </w:p>
    <w:p w14:paraId="28FBC064" w14:textId="77777777" w:rsidR="00C928E4" w:rsidRDefault="00C928E4">
      <w:pPr>
        <w:jc w:val="both"/>
        <w:rPr>
          <w:rFonts w:ascii="Times New Roman" w:eastAsia="Times New Roman" w:hAnsi="Times New Roman" w:cs="Times New Roman"/>
        </w:rPr>
      </w:pPr>
    </w:p>
    <w:p w14:paraId="5D10792B"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rPr>
        <w:t>El Programa 20: Promoción del emprendimiento formal, equitativo e incluyente guarda una estrecha relación con el impacto positivo del crecimiento de las MIPYMES en la reducción de la brecha de género y el fortalecimiento del emprendimiento. A través de la implementación de un Sistema Distrital de Apoyo al Emprendimiento, se busca brindar asistencia técnica, tecnológica y financiera a personas interesadas en emprender, permitiendo que más negocios alcancen estabilidad y crecimiento. Esto coincide con el argumento de que el fortalecimiento de las MIPYMES impulsa la generación de ingresos y fomenta la inclusión económica de aquellos que no han podido formalizarse, y los que formalizados aún no tienen una inclusión sólida en el mercado.</w:t>
      </w:r>
    </w:p>
    <w:p w14:paraId="5C055357" w14:textId="77777777" w:rsidR="00C928E4" w:rsidRDefault="00C928E4">
      <w:pPr>
        <w:jc w:val="both"/>
        <w:rPr>
          <w:rFonts w:ascii="Times New Roman" w:eastAsia="Times New Roman" w:hAnsi="Times New Roman" w:cs="Times New Roman"/>
        </w:rPr>
      </w:pPr>
    </w:p>
    <w:p w14:paraId="535B1FF3"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rPr>
        <w:t>Asimismo, el programa prioriza el apoyo a mujeres, jóvenes, personas en proceso de reincorporación, población rural y comunidades étnicas, contribuyendo a la equidad de género y social. Al fomentar la participación de las mujeres en el emprendimiento, se reduce la brecha de género en el mercado laboral, tal como se argumentó en relación con la creciente participación femenina en las MIPYMES. Además, la inclusión de comerciantes informales en la formalidad fortalece la autonomía económica de estos trabajadores, alineándose con la idea de que mejorar el emprendimiento impulsa la equidad y el desarrollo económico sostenible.</w:t>
      </w:r>
    </w:p>
    <w:p w14:paraId="69E583F8" w14:textId="77777777" w:rsidR="00C928E4" w:rsidRDefault="00C928E4">
      <w:pPr>
        <w:jc w:val="both"/>
        <w:rPr>
          <w:rFonts w:ascii="Times New Roman" w:eastAsia="Times New Roman" w:hAnsi="Times New Roman" w:cs="Times New Roman"/>
        </w:rPr>
      </w:pPr>
    </w:p>
    <w:p w14:paraId="2504A101"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rPr>
        <w:t>Por otro lado, el acceso a financiamiento y el fortalecimiento de capacidades son aspectos clave del programa, ya que permiten mejorar la productividad y garantizar la sostenibilidad de los negocios. Estrategias como formación empresarial, asistencia técnica y mecanismos de financiación facilitan el crecimiento de los emprendimientos, lo que se refleja en el dato de que más del 50 % de las MIPYMES reportan ingresos superiores a $3.600.000 mensuales. En este sentido, el programa refuerza la importancia de consolidar las MIPYMES como motores de desarrollo, al garantizar condiciones para su estabilidad y expansión en el mercado.</w:t>
      </w:r>
    </w:p>
    <w:p w14:paraId="3DA16A05" w14:textId="77777777" w:rsidR="00C928E4" w:rsidRDefault="00C928E4">
      <w:pPr>
        <w:jc w:val="both"/>
        <w:rPr>
          <w:rFonts w:ascii="Times New Roman" w:eastAsia="Times New Roman" w:hAnsi="Times New Roman" w:cs="Times New Roman"/>
        </w:rPr>
      </w:pPr>
    </w:p>
    <w:p w14:paraId="746D26AB" w14:textId="77777777" w:rsidR="00C928E4" w:rsidRDefault="00C928E4">
      <w:pPr>
        <w:jc w:val="both"/>
        <w:rPr>
          <w:rFonts w:ascii="Times New Roman" w:eastAsia="Times New Roman" w:hAnsi="Times New Roman" w:cs="Times New Roman"/>
        </w:rPr>
      </w:pPr>
    </w:p>
    <w:p w14:paraId="1A715AB2" w14:textId="77777777" w:rsidR="00C928E4" w:rsidRDefault="00C2041E">
      <w:pPr>
        <w:numPr>
          <w:ilvl w:val="0"/>
          <w:numId w:val="7"/>
        </w:numPr>
        <w:pBdr>
          <w:top w:val="nil"/>
          <w:left w:val="nil"/>
          <w:bottom w:val="nil"/>
          <w:right w:val="nil"/>
          <w:between w:val="nil"/>
        </w:pBdr>
        <w:jc w:val="both"/>
        <w:rPr>
          <w:rFonts w:ascii="Times New Roman" w:eastAsia="Times New Roman" w:hAnsi="Times New Roman" w:cs="Times New Roman"/>
        </w:rPr>
      </w:pPr>
      <w:r>
        <w:rPr>
          <w:rFonts w:ascii="Times New Roman" w:eastAsia="Times New Roman" w:hAnsi="Times New Roman" w:cs="Times New Roman"/>
          <w:b/>
        </w:rPr>
        <w:t>COMPETENCIA DEL CONCEJO DE BOGOTÁ</w:t>
      </w:r>
    </w:p>
    <w:p w14:paraId="09B119C9" w14:textId="77777777" w:rsidR="00C928E4" w:rsidRDefault="00C928E4">
      <w:pPr>
        <w:ind w:left="360"/>
        <w:jc w:val="both"/>
        <w:rPr>
          <w:rFonts w:ascii="Times New Roman" w:eastAsia="Times New Roman" w:hAnsi="Times New Roman" w:cs="Times New Roman"/>
        </w:rPr>
      </w:pPr>
    </w:p>
    <w:p w14:paraId="6A36F38E" w14:textId="77777777" w:rsidR="00C928E4" w:rsidRDefault="00C928E4">
      <w:pPr>
        <w:jc w:val="both"/>
        <w:rPr>
          <w:rFonts w:ascii="Times New Roman" w:eastAsia="Times New Roman" w:hAnsi="Times New Roman" w:cs="Times New Roman"/>
        </w:rPr>
      </w:pPr>
    </w:p>
    <w:p w14:paraId="592A8FFC" w14:textId="77777777" w:rsidR="00C928E4" w:rsidRDefault="00C2041E">
      <w:pPr>
        <w:pBdr>
          <w:top w:val="nil"/>
          <w:left w:val="nil"/>
          <w:bottom w:val="nil"/>
          <w:right w:val="nil"/>
          <w:between w:val="nil"/>
        </w:pBdr>
        <w:jc w:val="both"/>
        <w:rPr>
          <w:rFonts w:ascii="Times New Roman" w:eastAsia="Times New Roman" w:hAnsi="Times New Roman" w:cs="Times New Roman"/>
        </w:rPr>
      </w:pPr>
      <w:r>
        <w:rPr>
          <w:rFonts w:ascii="Times New Roman" w:eastAsia="Times New Roman" w:hAnsi="Times New Roman" w:cs="Times New Roman"/>
        </w:rPr>
        <w:t>El Concejo de Bogotá D.C. tiene la competencia para dictar normas relacionadas con la naturaleza y el alcance del presente Proyecto de Acuerdo, según las disposiciones constitucionales y legales vigentes. En primer lugar, el artículo 313 de la Constitución Política de Colombia establece que:</w:t>
      </w:r>
    </w:p>
    <w:p w14:paraId="50E2AAFC" w14:textId="77777777" w:rsidR="00C928E4" w:rsidRDefault="00C928E4">
      <w:pPr>
        <w:pBdr>
          <w:top w:val="nil"/>
          <w:left w:val="nil"/>
          <w:bottom w:val="nil"/>
          <w:right w:val="nil"/>
          <w:between w:val="nil"/>
        </w:pBdr>
        <w:jc w:val="both"/>
        <w:rPr>
          <w:rFonts w:ascii="Times New Roman" w:eastAsia="Times New Roman" w:hAnsi="Times New Roman" w:cs="Times New Roman"/>
        </w:rPr>
      </w:pPr>
    </w:p>
    <w:p w14:paraId="22C669BA" w14:textId="77777777" w:rsidR="00C928E4" w:rsidRDefault="00C2041E">
      <w:pPr>
        <w:pBdr>
          <w:top w:val="nil"/>
          <w:left w:val="nil"/>
          <w:bottom w:val="nil"/>
          <w:right w:val="nil"/>
          <w:between w:val="nil"/>
        </w:pBdr>
        <w:jc w:val="both"/>
        <w:rPr>
          <w:rFonts w:ascii="Times New Roman" w:eastAsia="Times New Roman" w:hAnsi="Times New Roman" w:cs="Times New Roman"/>
        </w:rPr>
      </w:pPr>
      <w:r>
        <w:rPr>
          <w:rFonts w:ascii="Times New Roman" w:eastAsia="Times New Roman" w:hAnsi="Times New Roman" w:cs="Times New Roman"/>
        </w:rPr>
        <w:t>El Concejo de Bogotá es competente para estudiar y aprobar o improbar el presente proyecto de acuerdo en virtud de lo establecido en el Artículo 12 del Decreto ley 1421 de 1993, principalmente en el numeral 1 que faculta al a Corporación para dictar normas así: DECRETO LEY 1421 de 1993 “Estatuto Orgánico de Bogotá”. Art. 12. Atribuciones. Corresponde al Concejo Distrital, de conformidad con la Constitución y la ley:</w:t>
      </w:r>
    </w:p>
    <w:p w14:paraId="30D2D8CA" w14:textId="77777777" w:rsidR="00C928E4" w:rsidRDefault="00C928E4">
      <w:pPr>
        <w:pBdr>
          <w:top w:val="nil"/>
          <w:left w:val="nil"/>
          <w:bottom w:val="nil"/>
          <w:right w:val="nil"/>
          <w:between w:val="nil"/>
        </w:pBdr>
        <w:jc w:val="both"/>
        <w:rPr>
          <w:rFonts w:ascii="Times New Roman" w:eastAsia="Times New Roman" w:hAnsi="Times New Roman" w:cs="Times New Roman"/>
        </w:rPr>
      </w:pPr>
    </w:p>
    <w:p w14:paraId="23D39D85" w14:textId="77777777" w:rsidR="00C928E4" w:rsidRDefault="00C2041E">
      <w:pPr>
        <w:pBdr>
          <w:top w:val="nil"/>
          <w:left w:val="nil"/>
          <w:bottom w:val="nil"/>
          <w:right w:val="nil"/>
          <w:between w:val="nil"/>
        </w:pBdr>
        <w:jc w:val="both"/>
        <w:rPr>
          <w:rFonts w:ascii="Times New Roman" w:eastAsia="Times New Roman" w:hAnsi="Times New Roman" w:cs="Times New Roman"/>
        </w:rPr>
      </w:pPr>
      <w:r>
        <w:rPr>
          <w:rFonts w:ascii="Times New Roman" w:eastAsia="Times New Roman" w:hAnsi="Times New Roman" w:cs="Times New Roman"/>
        </w:rPr>
        <w:t>(…) 1. Dictar las normas necesarias para garantizar el adecuado cumplimiento de las funciones y la eficiente prestación de los servicios a cargo del Distrito.</w:t>
      </w:r>
    </w:p>
    <w:p w14:paraId="084EAC85" w14:textId="77777777" w:rsidR="00C928E4" w:rsidRDefault="00C928E4">
      <w:pPr>
        <w:pBdr>
          <w:top w:val="nil"/>
          <w:left w:val="nil"/>
          <w:bottom w:val="nil"/>
          <w:right w:val="nil"/>
          <w:between w:val="nil"/>
        </w:pBdr>
        <w:jc w:val="both"/>
        <w:rPr>
          <w:rFonts w:ascii="Times New Roman" w:eastAsia="Times New Roman" w:hAnsi="Times New Roman" w:cs="Times New Roman"/>
        </w:rPr>
      </w:pPr>
    </w:p>
    <w:p w14:paraId="4D3D1C71" w14:textId="77777777" w:rsidR="00C928E4" w:rsidRDefault="00C2041E">
      <w:pPr>
        <w:pBdr>
          <w:top w:val="nil"/>
          <w:left w:val="nil"/>
          <w:bottom w:val="nil"/>
          <w:right w:val="nil"/>
          <w:between w:val="nil"/>
        </w:pBdr>
        <w:jc w:val="both"/>
        <w:rPr>
          <w:rFonts w:ascii="Times New Roman" w:eastAsia="Times New Roman" w:hAnsi="Times New Roman" w:cs="Times New Roman"/>
        </w:rPr>
      </w:pPr>
      <w:r>
        <w:rPr>
          <w:rFonts w:ascii="Times New Roman" w:eastAsia="Times New Roman" w:hAnsi="Times New Roman" w:cs="Times New Roman"/>
        </w:rPr>
        <w:t xml:space="preserve">Asimismo, el Concejo de Bogotá D.C. tiene la competencia para dictar normas relacionadas con la naturaleza y el alcance del presente Proyecto de Acuerdo, según las disposiciones constitucionales y legales vigentes. </w:t>
      </w:r>
    </w:p>
    <w:p w14:paraId="3C7908BF" w14:textId="77777777" w:rsidR="00C928E4" w:rsidRDefault="00C928E4">
      <w:pPr>
        <w:pBdr>
          <w:top w:val="nil"/>
          <w:left w:val="nil"/>
          <w:bottom w:val="nil"/>
          <w:right w:val="nil"/>
          <w:between w:val="nil"/>
        </w:pBdr>
        <w:jc w:val="both"/>
        <w:rPr>
          <w:rFonts w:ascii="Times New Roman" w:eastAsia="Times New Roman" w:hAnsi="Times New Roman" w:cs="Times New Roman"/>
        </w:rPr>
      </w:pPr>
    </w:p>
    <w:p w14:paraId="0A515E3B" w14:textId="77777777" w:rsidR="00C928E4" w:rsidRDefault="00C928E4">
      <w:pPr>
        <w:pBdr>
          <w:top w:val="nil"/>
          <w:left w:val="nil"/>
          <w:bottom w:val="nil"/>
          <w:right w:val="nil"/>
          <w:between w:val="nil"/>
        </w:pBdr>
        <w:jc w:val="both"/>
        <w:rPr>
          <w:rFonts w:ascii="Times New Roman" w:eastAsia="Times New Roman" w:hAnsi="Times New Roman" w:cs="Times New Roman"/>
        </w:rPr>
      </w:pPr>
    </w:p>
    <w:p w14:paraId="6E98C4EA" w14:textId="77777777" w:rsidR="00C928E4" w:rsidRDefault="00C2041E">
      <w:pPr>
        <w:pBdr>
          <w:top w:val="nil"/>
          <w:left w:val="nil"/>
          <w:bottom w:val="nil"/>
          <w:right w:val="nil"/>
          <w:between w:val="nil"/>
        </w:pBdr>
        <w:ind w:firstLine="720"/>
        <w:jc w:val="both"/>
        <w:rPr>
          <w:rFonts w:ascii="Times New Roman" w:eastAsia="Times New Roman" w:hAnsi="Times New Roman" w:cs="Times New Roman"/>
          <w:b/>
        </w:rPr>
      </w:pPr>
      <w:r>
        <w:rPr>
          <w:rFonts w:ascii="Times New Roman" w:eastAsia="Times New Roman" w:hAnsi="Times New Roman" w:cs="Times New Roman"/>
          <w:b/>
        </w:rPr>
        <w:t xml:space="preserve">VII.      IMPACTO FISCAL </w:t>
      </w:r>
    </w:p>
    <w:p w14:paraId="75C729C9" w14:textId="77777777" w:rsidR="00C928E4" w:rsidRDefault="00C928E4">
      <w:pPr>
        <w:pBdr>
          <w:top w:val="nil"/>
          <w:left w:val="nil"/>
          <w:bottom w:val="nil"/>
          <w:right w:val="nil"/>
          <w:between w:val="nil"/>
        </w:pBdr>
        <w:ind w:firstLine="720"/>
        <w:jc w:val="both"/>
        <w:rPr>
          <w:rFonts w:ascii="Times New Roman" w:eastAsia="Times New Roman" w:hAnsi="Times New Roman" w:cs="Times New Roman"/>
          <w:b/>
        </w:rPr>
      </w:pPr>
    </w:p>
    <w:p w14:paraId="749AE9B2" w14:textId="77777777" w:rsidR="00C928E4" w:rsidRDefault="00C2041E">
      <w:pPr>
        <w:pBdr>
          <w:top w:val="nil"/>
          <w:left w:val="nil"/>
          <w:bottom w:val="nil"/>
          <w:right w:val="nil"/>
          <w:between w:val="nil"/>
        </w:pBdr>
        <w:jc w:val="both"/>
        <w:rPr>
          <w:rFonts w:ascii="Times New Roman" w:eastAsia="Times New Roman" w:hAnsi="Times New Roman" w:cs="Times New Roman"/>
        </w:rPr>
      </w:pPr>
      <w:r>
        <w:rPr>
          <w:rFonts w:ascii="Times New Roman" w:eastAsia="Times New Roman" w:hAnsi="Times New Roman" w:cs="Times New Roman"/>
        </w:rPr>
        <w:t xml:space="preserve">De conformidad con el artículo 7 de la Ley 819 de 2003: </w:t>
      </w:r>
    </w:p>
    <w:p w14:paraId="76043E3B" w14:textId="77777777" w:rsidR="00C928E4" w:rsidRDefault="00C928E4">
      <w:pPr>
        <w:pBdr>
          <w:top w:val="nil"/>
          <w:left w:val="nil"/>
          <w:bottom w:val="nil"/>
          <w:right w:val="nil"/>
          <w:between w:val="nil"/>
        </w:pBdr>
        <w:jc w:val="both"/>
        <w:rPr>
          <w:rFonts w:ascii="Times New Roman" w:eastAsia="Times New Roman" w:hAnsi="Times New Roman" w:cs="Times New Roman"/>
        </w:rPr>
      </w:pPr>
    </w:p>
    <w:p w14:paraId="1BD46548" w14:textId="77777777" w:rsidR="00C928E4" w:rsidRDefault="00C2041E">
      <w:pPr>
        <w:pBdr>
          <w:top w:val="nil"/>
          <w:left w:val="nil"/>
          <w:bottom w:val="nil"/>
          <w:right w:val="nil"/>
          <w:between w:val="nil"/>
        </w:pBdr>
        <w:jc w:val="both"/>
        <w:rPr>
          <w:rFonts w:ascii="Times New Roman" w:eastAsia="Times New Roman" w:hAnsi="Times New Roman" w:cs="Times New Roman"/>
          <w:i/>
        </w:rPr>
      </w:pPr>
      <w:r>
        <w:rPr>
          <w:rFonts w:ascii="Times New Roman" w:eastAsia="Times New Roman" w:hAnsi="Times New Roman" w:cs="Times New Roman"/>
          <w:i/>
        </w:rPr>
        <w:t>“En todo momento, el impacto fiscal de cualquier proyecto de ley, ordenanza o acuerdo, que ordene gasto o que otorgue beneficios tributarios, deberá hacerse explícito y deberá ser compatible con el Marco Fiscal de Mediano Plazo. Para estos propósitos, deberá incluirse expresamente en la exposición de motivos y en las ponencias de trámite respectivas los costos fiscales de la iniciativa y la fuente de ingreso adicional generada para el financiamiento de dicho costo”.</w:t>
      </w:r>
    </w:p>
    <w:p w14:paraId="3E3E3AC5" w14:textId="77777777" w:rsidR="00C928E4" w:rsidRDefault="00C928E4">
      <w:pPr>
        <w:pBdr>
          <w:top w:val="nil"/>
          <w:left w:val="nil"/>
          <w:bottom w:val="nil"/>
          <w:right w:val="nil"/>
          <w:between w:val="nil"/>
        </w:pBdr>
        <w:jc w:val="both"/>
        <w:rPr>
          <w:rFonts w:ascii="Times New Roman" w:eastAsia="Times New Roman" w:hAnsi="Times New Roman" w:cs="Times New Roman"/>
          <w:i/>
        </w:rPr>
      </w:pPr>
    </w:p>
    <w:p w14:paraId="74617992"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rPr>
        <w:t xml:space="preserve"> </w:t>
      </w:r>
    </w:p>
    <w:p w14:paraId="5A81C65B"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rPr>
        <w:t>Atentamente,</w:t>
      </w:r>
    </w:p>
    <w:p w14:paraId="3FA375B0"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rPr>
        <w:t xml:space="preserve"> </w:t>
      </w:r>
    </w:p>
    <w:p w14:paraId="7CE6B89A"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rPr>
        <w:t xml:space="preserve"> </w:t>
      </w:r>
    </w:p>
    <w:p w14:paraId="3A44D9B7" w14:textId="77777777" w:rsidR="00C928E4" w:rsidRDefault="00C928E4">
      <w:pPr>
        <w:jc w:val="both"/>
        <w:rPr>
          <w:rFonts w:ascii="Times New Roman" w:eastAsia="Times New Roman" w:hAnsi="Times New Roman" w:cs="Times New Roman"/>
        </w:rPr>
      </w:pPr>
    </w:p>
    <w:p w14:paraId="7E611F5D"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b/>
        </w:rPr>
        <w:t>JULIÁN USCÁTEGUI PASTRANA</w:t>
      </w:r>
      <w:r>
        <w:rPr>
          <w:rFonts w:ascii="Times New Roman" w:eastAsia="Times New Roman" w:hAnsi="Times New Roman" w:cs="Times New Roman"/>
        </w:rPr>
        <w:t xml:space="preserve">              </w:t>
      </w:r>
      <w:r>
        <w:rPr>
          <w:rFonts w:ascii="Times New Roman" w:eastAsia="Times New Roman" w:hAnsi="Times New Roman" w:cs="Times New Roman"/>
        </w:rPr>
        <w:tab/>
      </w:r>
    </w:p>
    <w:p w14:paraId="6EFD237A"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rPr>
        <w:t xml:space="preserve">H. Concejal de Bogotá D.C.                                 </w:t>
      </w:r>
      <w:r>
        <w:rPr>
          <w:rFonts w:ascii="Times New Roman" w:eastAsia="Times New Roman" w:hAnsi="Times New Roman" w:cs="Times New Roman"/>
        </w:rPr>
        <w:tab/>
        <w:t xml:space="preserve"> </w:t>
      </w:r>
    </w:p>
    <w:p w14:paraId="0046E05B"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rPr>
        <w:t xml:space="preserve">Centro Democrático                    </w:t>
      </w:r>
      <w:r>
        <w:rPr>
          <w:rFonts w:ascii="Times New Roman" w:eastAsia="Times New Roman" w:hAnsi="Times New Roman" w:cs="Times New Roman"/>
        </w:rPr>
        <w:tab/>
      </w:r>
    </w:p>
    <w:p w14:paraId="3A19BF3A"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rPr>
        <w:t xml:space="preserve"> </w:t>
      </w:r>
    </w:p>
    <w:p w14:paraId="08C9E872" w14:textId="77777777" w:rsidR="00C928E4" w:rsidRDefault="00C928E4">
      <w:pPr>
        <w:jc w:val="both"/>
        <w:rPr>
          <w:rFonts w:ascii="Times New Roman" w:eastAsia="Times New Roman" w:hAnsi="Times New Roman" w:cs="Times New Roman"/>
          <w:b/>
        </w:rPr>
      </w:pPr>
    </w:p>
    <w:p w14:paraId="44E70D25" w14:textId="77777777" w:rsidR="00C928E4" w:rsidRDefault="00C928E4">
      <w:pPr>
        <w:jc w:val="both"/>
        <w:rPr>
          <w:rFonts w:ascii="Times New Roman" w:eastAsia="Times New Roman" w:hAnsi="Times New Roman" w:cs="Times New Roman"/>
          <w:b/>
        </w:rPr>
      </w:pPr>
    </w:p>
    <w:p w14:paraId="6EF012F7" w14:textId="77777777" w:rsidR="00C928E4" w:rsidRDefault="00C928E4">
      <w:pPr>
        <w:jc w:val="both"/>
        <w:rPr>
          <w:rFonts w:ascii="Times New Roman" w:eastAsia="Times New Roman" w:hAnsi="Times New Roman" w:cs="Times New Roman"/>
          <w:b/>
        </w:rPr>
      </w:pPr>
    </w:p>
    <w:p w14:paraId="0B14755C" w14:textId="77777777" w:rsidR="00C928E4" w:rsidRDefault="00C928E4">
      <w:pPr>
        <w:jc w:val="both"/>
        <w:rPr>
          <w:rFonts w:ascii="Times New Roman" w:eastAsia="Times New Roman" w:hAnsi="Times New Roman" w:cs="Times New Roman"/>
          <w:b/>
        </w:rPr>
      </w:pPr>
    </w:p>
    <w:p w14:paraId="2AE705FE" w14:textId="77777777" w:rsidR="00C928E4" w:rsidRDefault="00C928E4">
      <w:pPr>
        <w:jc w:val="both"/>
        <w:rPr>
          <w:rFonts w:ascii="Times New Roman" w:eastAsia="Times New Roman" w:hAnsi="Times New Roman" w:cs="Times New Roman"/>
          <w:b/>
        </w:rPr>
      </w:pPr>
    </w:p>
    <w:p w14:paraId="7BDDA442" w14:textId="77777777" w:rsidR="00C928E4" w:rsidRDefault="00C928E4">
      <w:pPr>
        <w:jc w:val="both"/>
        <w:rPr>
          <w:rFonts w:ascii="Times New Roman" w:eastAsia="Times New Roman" w:hAnsi="Times New Roman" w:cs="Times New Roman"/>
          <w:b/>
        </w:rPr>
      </w:pPr>
    </w:p>
    <w:p w14:paraId="00F360A8" w14:textId="77777777" w:rsidR="00C928E4" w:rsidRDefault="00C928E4">
      <w:pPr>
        <w:jc w:val="both"/>
        <w:rPr>
          <w:rFonts w:ascii="Times New Roman" w:eastAsia="Times New Roman" w:hAnsi="Times New Roman" w:cs="Times New Roman"/>
          <w:b/>
        </w:rPr>
      </w:pPr>
    </w:p>
    <w:p w14:paraId="13CFB712" w14:textId="77777777" w:rsidR="00C928E4" w:rsidRDefault="00C928E4">
      <w:pPr>
        <w:jc w:val="both"/>
        <w:rPr>
          <w:rFonts w:ascii="Times New Roman" w:eastAsia="Times New Roman" w:hAnsi="Times New Roman" w:cs="Times New Roman"/>
          <w:b/>
        </w:rPr>
      </w:pPr>
    </w:p>
    <w:p w14:paraId="22AEDD32" w14:textId="77777777" w:rsidR="00C928E4" w:rsidRDefault="00C928E4">
      <w:pPr>
        <w:jc w:val="both"/>
        <w:rPr>
          <w:rFonts w:ascii="Times New Roman" w:eastAsia="Times New Roman" w:hAnsi="Times New Roman" w:cs="Times New Roman"/>
          <w:b/>
        </w:rPr>
      </w:pPr>
    </w:p>
    <w:p w14:paraId="29689A39" w14:textId="77777777" w:rsidR="00C928E4" w:rsidRDefault="00C2041E">
      <w:pPr>
        <w:jc w:val="center"/>
        <w:rPr>
          <w:rFonts w:ascii="Times New Roman" w:eastAsia="Times New Roman" w:hAnsi="Times New Roman" w:cs="Times New Roman"/>
          <w:b/>
        </w:rPr>
      </w:pPr>
      <w:r>
        <w:rPr>
          <w:rFonts w:ascii="Times New Roman" w:eastAsia="Times New Roman" w:hAnsi="Times New Roman" w:cs="Times New Roman"/>
          <w:b/>
        </w:rPr>
        <w:t>Proyecto de Acuerdo No.  ______ de 2024</w:t>
      </w:r>
    </w:p>
    <w:p w14:paraId="2CF150BE" w14:textId="77777777" w:rsidR="00C928E4" w:rsidRDefault="00C928E4">
      <w:pPr>
        <w:jc w:val="center"/>
        <w:rPr>
          <w:rFonts w:ascii="Times New Roman" w:eastAsia="Times New Roman" w:hAnsi="Times New Roman" w:cs="Times New Roman"/>
          <w:b/>
        </w:rPr>
      </w:pPr>
    </w:p>
    <w:p w14:paraId="40B3448E" w14:textId="77777777" w:rsidR="00C928E4" w:rsidRDefault="00C2041E">
      <w:pPr>
        <w:jc w:val="center"/>
        <w:rPr>
          <w:rFonts w:ascii="Times New Roman" w:eastAsia="Times New Roman" w:hAnsi="Times New Roman" w:cs="Times New Roman"/>
          <w:b/>
        </w:rPr>
      </w:pPr>
      <w:r>
        <w:rPr>
          <w:rFonts w:ascii="Times New Roman" w:eastAsia="Times New Roman" w:hAnsi="Times New Roman" w:cs="Times New Roman"/>
          <w:b/>
        </w:rPr>
        <w:t xml:space="preserve">“POR MEDIO DEL CUAL SE IMPLEMENTA EL PROGRAMA “ESCALERA DE LA FORMALIDAD” PARA EL FORTALECIMIENTO Y FORMALIZACIÓN DE LAS MICRO, PEQUEÑAS Y MEDIANAS EMPRESAS (MIPYMES) EN EL DISTRITO CAPITAL Y  SE DICTAN OTRAS DISPOSICIONES.” </w:t>
      </w:r>
    </w:p>
    <w:p w14:paraId="3859CE45" w14:textId="77777777" w:rsidR="00C928E4" w:rsidRDefault="00C2041E">
      <w:pPr>
        <w:jc w:val="both"/>
        <w:rPr>
          <w:rFonts w:ascii="Times New Roman" w:eastAsia="Times New Roman" w:hAnsi="Times New Roman" w:cs="Times New Roman"/>
          <w:b/>
        </w:rPr>
      </w:pPr>
      <w:r>
        <w:rPr>
          <w:rFonts w:ascii="Times New Roman" w:eastAsia="Times New Roman" w:hAnsi="Times New Roman" w:cs="Times New Roman"/>
          <w:b/>
        </w:rPr>
        <w:t xml:space="preserve"> </w:t>
      </w:r>
    </w:p>
    <w:p w14:paraId="684B0495" w14:textId="77777777" w:rsidR="00C928E4" w:rsidRDefault="00C928E4">
      <w:pPr>
        <w:jc w:val="both"/>
        <w:rPr>
          <w:rFonts w:ascii="Times New Roman" w:eastAsia="Times New Roman" w:hAnsi="Times New Roman" w:cs="Times New Roman"/>
          <w:b/>
        </w:rPr>
      </w:pPr>
    </w:p>
    <w:p w14:paraId="20FBA7F7" w14:textId="77777777" w:rsidR="00C928E4" w:rsidRDefault="00C2041E">
      <w:pPr>
        <w:jc w:val="center"/>
        <w:rPr>
          <w:rFonts w:ascii="Times New Roman" w:eastAsia="Times New Roman" w:hAnsi="Times New Roman" w:cs="Times New Roman"/>
          <w:b/>
        </w:rPr>
      </w:pPr>
      <w:r>
        <w:rPr>
          <w:rFonts w:ascii="Times New Roman" w:eastAsia="Times New Roman" w:hAnsi="Times New Roman" w:cs="Times New Roman"/>
          <w:b/>
        </w:rPr>
        <w:t>EL CONCEJO DE BOGOTÁ DISTRITO CAPITAL</w:t>
      </w:r>
    </w:p>
    <w:p w14:paraId="71676E6B" w14:textId="77777777" w:rsidR="00C928E4" w:rsidRDefault="00C2041E">
      <w:pPr>
        <w:jc w:val="both"/>
        <w:rPr>
          <w:rFonts w:ascii="Times New Roman" w:eastAsia="Times New Roman" w:hAnsi="Times New Roman" w:cs="Times New Roman"/>
          <w:b/>
        </w:rPr>
      </w:pPr>
      <w:r>
        <w:rPr>
          <w:rFonts w:ascii="Times New Roman" w:eastAsia="Times New Roman" w:hAnsi="Times New Roman" w:cs="Times New Roman"/>
          <w:b/>
        </w:rPr>
        <w:t xml:space="preserve"> </w:t>
      </w:r>
    </w:p>
    <w:p w14:paraId="2803E7D9" w14:textId="77777777" w:rsidR="00C928E4" w:rsidRDefault="00C2041E">
      <w:pPr>
        <w:jc w:val="center"/>
        <w:rPr>
          <w:rFonts w:ascii="Times New Roman" w:eastAsia="Times New Roman" w:hAnsi="Times New Roman" w:cs="Times New Roman"/>
        </w:rPr>
      </w:pPr>
      <w:r>
        <w:rPr>
          <w:rFonts w:ascii="Times New Roman" w:eastAsia="Times New Roman" w:hAnsi="Times New Roman" w:cs="Times New Roman"/>
        </w:rPr>
        <w:t>En uso de sus atribuciones constitucionales y legales, en especial las que le confieren el numeral 1 del artículo 12 del Decreto-Ley 1421 de 1993.</w:t>
      </w:r>
    </w:p>
    <w:p w14:paraId="38E235BE" w14:textId="77777777" w:rsidR="00C928E4" w:rsidRDefault="00C2041E">
      <w:pPr>
        <w:jc w:val="both"/>
        <w:rPr>
          <w:rFonts w:ascii="Times New Roman" w:eastAsia="Times New Roman" w:hAnsi="Times New Roman" w:cs="Times New Roman"/>
          <w:b/>
        </w:rPr>
      </w:pPr>
      <w:r>
        <w:rPr>
          <w:rFonts w:ascii="Times New Roman" w:eastAsia="Times New Roman" w:hAnsi="Times New Roman" w:cs="Times New Roman"/>
          <w:b/>
        </w:rPr>
        <w:t xml:space="preserve"> </w:t>
      </w:r>
    </w:p>
    <w:p w14:paraId="59347F8E" w14:textId="77777777" w:rsidR="00C928E4" w:rsidRDefault="00C2041E">
      <w:pPr>
        <w:jc w:val="center"/>
        <w:rPr>
          <w:rFonts w:ascii="Times New Roman" w:eastAsia="Times New Roman" w:hAnsi="Times New Roman" w:cs="Times New Roman"/>
        </w:rPr>
      </w:pPr>
      <w:r>
        <w:rPr>
          <w:rFonts w:ascii="Times New Roman" w:eastAsia="Times New Roman" w:hAnsi="Times New Roman" w:cs="Times New Roman"/>
          <w:b/>
        </w:rPr>
        <w:t>ACUERDA</w:t>
      </w:r>
    </w:p>
    <w:p w14:paraId="4E0E5A01" w14:textId="77777777" w:rsidR="00C928E4" w:rsidRDefault="00C928E4">
      <w:pPr>
        <w:jc w:val="both"/>
        <w:rPr>
          <w:rFonts w:ascii="Times New Roman" w:eastAsia="Times New Roman" w:hAnsi="Times New Roman" w:cs="Times New Roman"/>
        </w:rPr>
      </w:pPr>
    </w:p>
    <w:p w14:paraId="179FB607"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b/>
        </w:rPr>
        <w:t>Artículo 1.</w:t>
      </w:r>
      <w:r>
        <w:rPr>
          <w:rFonts w:ascii="Times New Roman" w:eastAsia="Times New Roman" w:hAnsi="Times New Roman" w:cs="Times New Roman"/>
        </w:rPr>
        <w:t xml:space="preserve"> </w:t>
      </w:r>
      <w:r>
        <w:rPr>
          <w:rFonts w:ascii="Times New Roman" w:eastAsia="Times New Roman" w:hAnsi="Times New Roman" w:cs="Times New Roman"/>
          <w:b/>
        </w:rPr>
        <w:t>Objeto.</w:t>
      </w:r>
      <w:r>
        <w:rPr>
          <w:rFonts w:ascii="Times New Roman" w:eastAsia="Times New Roman" w:hAnsi="Times New Roman" w:cs="Times New Roman"/>
        </w:rPr>
        <w:t xml:space="preserve"> El presente Acuerdo tiene por objeto la implementación del programa “escalera de la formalidad” en el Distrito capital, con el fin de establecer una ruta progresiva que fomente la formalización de nuevas micro, pequeñas y medianas empresas en la ciudad. </w:t>
      </w:r>
    </w:p>
    <w:p w14:paraId="6516DFF7" w14:textId="77777777" w:rsidR="00C928E4" w:rsidRDefault="00C928E4">
      <w:pPr>
        <w:jc w:val="both"/>
        <w:rPr>
          <w:rFonts w:ascii="Times New Roman" w:eastAsia="Times New Roman" w:hAnsi="Times New Roman" w:cs="Times New Roman"/>
        </w:rPr>
      </w:pPr>
    </w:p>
    <w:p w14:paraId="399AF420"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b/>
        </w:rPr>
        <w:t xml:space="preserve">Artículo 2. Escalera de la Formalidad: </w:t>
      </w:r>
      <w:r>
        <w:rPr>
          <w:rFonts w:ascii="Times New Roman" w:eastAsia="Times New Roman" w:hAnsi="Times New Roman" w:cs="Times New Roman"/>
        </w:rPr>
        <w:t>El programa "Escalera de la Formalidad" se articulará en una estructura de al menos tres escalones, diseñados para formalizar a las micro, pequeñas y medianas empresas (Mipymes). Las empresas que hagan parte del programa tendrán todos los beneficios legales de una empresa formalizada desde el primer escalón. El último escalón será la formalización total según la ley vigente. Cada escalón representará una fase de avance, con una duración definida, y beneficios e incentivos determinados según el tamaño de la empresa y su nivel de consolidación.</w:t>
      </w:r>
    </w:p>
    <w:p w14:paraId="089450F6" w14:textId="77777777" w:rsidR="00C928E4" w:rsidRDefault="00C928E4">
      <w:pPr>
        <w:jc w:val="both"/>
        <w:rPr>
          <w:rFonts w:ascii="Times New Roman" w:eastAsia="Times New Roman" w:hAnsi="Times New Roman" w:cs="Times New Roman"/>
        </w:rPr>
      </w:pPr>
    </w:p>
    <w:p w14:paraId="3CF29EF8"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rPr>
        <w:t>La Secretaría Distrital de Desarrollo Económico, en ejercicio de sus competencias, definirá para cada escalón el tiempo máximo de permanencia, los criterios de tamaño empresarial, los requisitos para la progresión al siguiente nivel, y los beneficios e incentivos correspondientes. Asimismo, podrá establecer nuevos escalones y precisará el alcance de los requisitos y beneficios de cada fase, de conformidad con las disposiciones de la Ley 2254 de 2022.</w:t>
      </w:r>
    </w:p>
    <w:p w14:paraId="42C97360" w14:textId="77777777" w:rsidR="00C928E4" w:rsidRDefault="00C928E4">
      <w:pPr>
        <w:jc w:val="both"/>
        <w:rPr>
          <w:rFonts w:ascii="Times New Roman" w:eastAsia="Times New Roman" w:hAnsi="Times New Roman" w:cs="Times New Roman"/>
        </w:rPr>
      </w:pPr>
    </w:p>
    <w:p w14:paraId="455BF733"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b/>
        </w:rPr>
        <w:t>Artículo 3. Lineamientos</w:t>
      </w:r>
      <w:r>
        <w:rPr>
          <w:rFonts w:ascii="Times New Roman" w:eastAsia="Times New Roman" w:hAnsi="Times New Roman" w:cs="Times New Roman"/>
        </w:rPr>
        <w:t xml:space="preserve">. La Administración Distrital, con el objetivo de garantizar y promover la formalización de las micro, pequeñas y medianas empresas, implementará el programa “Escalera de la Formalidad”, atendiendo los siguientes lineamientos: </w:t>
      </w:r>
    </w:p>
    <w:p w14:paraId="74274ABF" w14:textId="77777777" w:rsidR="00C928E4" w:rsidRDefault="00C928E4">
      <w:pPr>
        <w:jc w:val="both"/>
        <w:rPr>
          <w:rFonts w:ascii="Times New Roman" w:eastAsia="Times New Roman" w:hAnsi="Times New Roman" w:cs="Times New Roman"/>
        </w:rPr>
      </w:pPr>
    </w:p>
    <w:p w14:paraId="226B7ED2" w14:textId="77777777" w:rsidR="00C928E4" w:rsidRDefault="00C2041E">
      <w:pPr>
        <w:numPr>
          <w:ilvl w:val="0"/>
          <w:numId w:val="9"/>
        </w:numPr>
        <w:jc w:val="both"/>
        <w:rPr>
          <w:rFonts w:ascii="Times New Roman" w:eastAsia="Times New Roman" w:hAnsi="Times New Roman" w:cs="Times New Roman"/>
        </w:rPr>
      </w:pPr>
      <w:r>
        <w:rPr>
          <w:rFonts w:ascii="Times New Roman" w:eastAsia="Times New Roman" w:hAnsi="Times New Roman" w:cs="Times New Roman"/>
        </w:rPr>
        <w:t>El proceso de formalización se estructurará en etapas sucesivas, permitiendo a las Mipymes avanzar de manera gradual y adaptada a sus capacidades, evitando transiciones abruptas y asegurando que las MiPymes puedan asimilar y cumplir con los requisitos de cada escalón de manera progresiva.</w:t>
      </w:r>
    </w:p>
    <w:p w14:paraId="10ECF477" w14:textId="77777777" w:rsidR="00C928E4" w:rsidRDefault="00C2041E">
      <w:pPr>
        <w:numPr>
          <w:ilvl w:val="0"/>
          <w:numId w:val="9"/>
        </w:numPr>
        <w:jc w:val="both"/>
        <w:rPr>
          <w:rFonts w:ascii="Times New Roman" w:eastAsia="Times New Roman" w:hAnsi="Times New Roman" w:cs="Times New Roman"/>
        </w:rPr>
      </w:pPr>
      <w:r>
        <w:rPr>
          <w:rFonts w:ascii="Times New Roman" w:eastAsia="Times New Roman" w:hAnsi="Times New Roman" w:cs="Times New Roman"/>
        </w:rPr>
        <w:t>El programa se adaptará a las diversas realidades y necesidades de las Mipymes, considerando su tamaño, sector de actividad, ubicación geográfica y nivel de desarrollo, ofreciendo opciones y rutas de formalización flexibles que permitan a las Mipymes elegir el camino que mejor se ajuste a sus circunstancias.</w:t>
      </w:r>
    </w:p>
    <w:p w14:paraId="6D6B3937" w14:textId="77777777" w:rsidR="00C928E4" w:rsidRDefault="00C2041E">
      <w:pPr>
        <w:numPr>
          <w:ilvl w:val="0"/>
          <w:numId w:val="9"/>
        </w:numPr>
        <w:jc w:val="both"/>
        <w:rPr>
          <w:rFonts w:ascii="Times New Roman" w:eastAsia="Times New Roman" w:hAnsi="Times New Roman" w:cs="Times New Roman"/>
        </w:rPr>
      </w:pPr>
      <w:r>
        <w:rPr>
          <w:rFonts w:ascii="Times New Roman" w:eastAsia="Times New Roman" w:hAnsi="Times New Roman" w:cs="Times New Roman"/>
        </w:rPr>
        <w:t>Los requisitos, beneficios y criterios de evaluación de cada escalón serán establecidos por la Administración distrital y deberán ser claros, accesibles y de conocimiento público, garantizando la transparencia en la toma de decisiones y en la asignación de recursos, generando confianza y credibilidad en el programa.</w:t>
      </w:r>
    </w:p>
    <w:p w14:paraId="457EF7D4" w14:textId="77777777" w:rsidR="00C928E4" w:rsidRDefault="00C2041E">
      <w:pPr>
        <w:numPr>
          <w:ilvl w:val="0"/>
          <w:numId w:val="9"/>
        </w:numPr>
        <w:jc w:val="both"/>
        <w:rPr>
          <w:rFonts w:ascii="Times New Roman" w:eastAsia="Times New Roman" w:hAnsi="Times New Roman" w:cs="Times New Roman"/>
        </w:rPr>
      </w:pPr>
      <w:r>
        <w:rPr>
          <w:rFonts w:ascii="Times New Roman" w:eastAsia="Times New Roman" w:hAnsi="Times New Roman" w:cs="Times New Roman"/>
        </w:rPr>
        <w:t>La Administración Distrital brindará acompañamiento y asesoría personalizada a las Mipymes en cada etapa del proceso de formalización, facilitando el acceso a información, capacitación y herramientas que fortalezcan las capacidades de gestión y competitividad de las MiPymes.</w:t>
      </w:r>
    </w:p>
    <w:p w14:paraId="32F65BCE" w14:textId="77777777" w:rsidR="00C928E4" w:rsidRDefault="00C2041E">
      <w:pPr>
        <w:numPr>
          <w:ilvl w:val="0"/>
          <w:numId w:val="9"/>
        </w:numPr>
        <w:jc w:val="both"/>
        <w:rPr>
          <w:rFonts w:ascii="Times New Roman" w:eastAsia="Times New Roman" w:hAnsi="Times New Roman" w:cs="Times New Roman"/>
        </w:rPr>
      </w:pPr>
      <w:r>
        <w:rPr>
          <w:rFonts w:ascii="Times New Roman" w:eastAsia="Times New Roman" w:hAnsi="Times New Roman" w:cs="Times New Roman"/>
        </w:rPr>
        <w:t>Se establecerán medidas de apoyo a mujeres emprendedoras dentro del programa, promoviendo su acceso prioritario a microcréditos, capacitaciones y asistencia técnica. Asimismo, se propenderá por fomentar la participación de mujeres en sectores estratégicos y se garantizará la implementación de políticas que reduzcan la brecha de género en el emprendimiento y la formalización empresarial.</w:t>
      </w:r>
    </w:p>
    <w:p w14:paraId="302CB4DF" w14:textId="77777777" w:rsidR="00C928E4" w:rsidRDefault="00C2041E">
      <w:pPr>
        <w:numPr>
          <w:ilvl w:val="0"/>
          <w:numId w:val="9"/>
        </w:numPr>
        <w:jc w:val="both"/>
        <w:rPr>
          <w:rFonts w:ascii="Times New Roman" w:eastAsia="Times New Roman" w:hAnsi="Times New Roman" w:cs="Times New Roman"/>
        </w:rPr>
      </w:pPr>
      <w:r>
        <w:rPr>
          <w:rFonts w:ascii="Times New Roman" w:eastAsia="Times New Roman" w:hAnsi="Times New Roman" w:cs="Times New Roman"/>
        </w:rPr>
        <w:t>La Administración Distrital propenderá por generar espacios de coordinación y articulación entre las entidades públicas y privadas involucradas en el programa, buscando la sinergia y complementariedad de los recursos y programas existentes, evitando duplicidades y maximizando el impacto de las acciones.</w:t>
      </w:r>
    </w:p>
    <w:p w14:paraId="3E2389FB" w14:textId="77777777" w:rsidR="00C928E4" w:rsidRDefault="00C2041E">
      <w:pPr>
        <w:numPr>
          <w:ilvl w:val="0"/>
          <w:numId w:val="9"/>
        </w:numPr>
        <w:jc w:val="both"/>
        <w:rPr>
          <w:rFonts w:ascii="Times New Roman" w:eastAsia="Times New Roman" w:hAnsi="Times New Roman" w:cs="Times New Roman"/>
        </w:rPr>
      </w:pPr>
      <w:r>
        <w:rPr>
          <w:rFonts w:ascii="Times New Roman" w:eastAsia="Times New Roman" w:hAnsi="Times New Roman" w:cs="Times New Roman"/>
        </w:rPr>
        <w:t xml:space="preserve">La Administración Distrital establecerá un censo de seguimiento a las empresas que hagan parte del programa “Escalera de la Formalidad” para determinar en qué escalón se encuentran y qué medidas se deben adoptar para que sigan en su camino a la formalización total. </w:t>
      </w:r>
    </w:p>
    <w:p w14:paraId="74713A26" w14:textId="77777777" w:rsidR="00C928E4" w:rsidRDefault="00C928E4">
      <w:pPr>
        <w:jc w:val="both"/>
        <w:rPr>
          <w:rFonts w:ascii="Times New Roman" w:eastAsia="Times New Roman" w:hAnsi="Times New Roman" w:cs="Times New Roman"/>
          <w:b/>
        </w:rPr>
      </w:pPr>
    </w:p>
    <w:p w14:paraId="36D0A716"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b/>
        </w:rPr>
        <w:t xml:space="preserve">Artículo 4. Responsables. </w:t>
      </w:r>
      <w:r>
        <w:rPr>
          <w:rFonts w:ascii="Times New Roman" w:eastAsia="Times New Roman" w:hAnsi="Times New Roman" w:cs="Times New Roman"/>
        </w:rPr>
        <w:t xml:space="preserve">La Secretaría Distrital de Desarrollo Económico, en articulación con la Secretaría Distrital de Hacienda, serán las entidades encargadas de la implementación y seguimiento de las disposiciones contenidas en el presente acuerdo. </w:t>
      </w:r>
    </w:p>
    <w:p w14:paraId="7DA6C464" w14:textId="77777777" w:rsidR="00C928E4" w:rsidRDefault="00C928E4">
      <w:pPr>
        <w:jc w:val="both"/>
        <w:rPr>
          <w:rFonts w:ascii="Times New Roman" w:eastAsia="Times New Roman" w:hAnsi="Times New Roman" w:cs="Times New Roman"/>
        </w:rPr>
      </w:pPr>
    </w:p>
    <w:p w14:paraId="01C92286"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b/>
        </w:rPr>
        <w:t>Parágrafo.</w:t>
      </w:r>
      <w:r>
        <w:rPr>
          <w:rFonts w:ascii="Times New Roman" w:eastAsia="Times New Roman" w:hAnsi="Times New Roman" w:cs="Times New Roman"/>
        </w:rPr>
        <w:t xml:space="preserve"> En concordancia con lo dispuesto en el artículo 19 de la Ley 2254 de 2022, se promoverá la articulación entre la Administración Distrital, el Gobierno Nacional y la Cámara de Comercio de Bogotá para desarrollar una campaña integral de socialización y divulgación de los beneficios que el presente acuerdo otorga a las Micro, Pequeñas y Medianas Empresas.</w:t>
      </w:r>
    </w:p>
    <w:p w14:paraId="1C3E1B44" w14:textId="77777777" w:rsidR="00C928E4" w:rsidRDefault="00C928E4">
      <w:pPr>
        <w:jc w:val="both"/>
        <w:rPr>
          <w:rFonts w:ascii="Times New Roman" w:eastAsia="Times New Roman" w:hAnsi="Times New Roman" w:cs="Times New Roman"/>
        </w:rPr>
      </w:pPr>
    </w:p>
    <w:p w14:paraId="15A8B61B"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b/>
        </w:rPr>
        <w:t>Artículo 5. Vigencia:</w:t>
      </w:r>
      <w:r>
        <w:rPr>
          <w:rFonts w:ascii="Times New Roman" w:eastAsia="Times New Roman" w:hAnsi="Times New Roman" w:cs="Times New Roman"/>
        </w:rPr>
        <w:t xml:space="preserve"> El presente Acuerdo rige a partir de la fecha de su publicación.</w:t>
      </w:r>
    </w:p>
    <w:p w14:paraId="045EEF59" w14:textId="77777777" w:rsidR="00C928E4" w:rsidRDefault="00C928E4">
      <w:pPr>
        <w:jc w:val="both"/>
        <w:rPr>
          <w:rFonts w:ascii="Times New Roman" w:eastAsia="Times New Roman" w:hAnsi="Times New Roman" w:cs="Times New Roman"/>
        </w:rPr>
      </w:pPr>
    </w:p>
    <w:p w14:paraId="4910CC06" w14:textId="77777777" w:rsidR="00C928E4" w:rsidRDefault="00C928E4">
      <w:pPr>
        <w:jc w:val="both"/>
        <w:rPr>
          <w:rFonts w:ascii="Times New Roman" w:eastAsia="Times New Roman" w:hAnsi="Times New Roman" w:cs="Times New Roman"/>
        </w:rPr>
      </w:pPr>
    </w:p>
    <w:p w14:paraId="246FDFD8" w14:textId="77777777" w:rsidR="00C928E4" w:rsidRDefault="00C2041E">
      <w:pPr>
        <w:jc w:val="center"/>
        <w:rPr>
          <w:rFonts w:ascii="Times New Roman" w:eastAsia="Times New Roman" w:hAnsi="Times New Roman" w:cs="Times New Roman"/>
        </w:rPr>
      </w:pPr>
      <w:r>
        <w:rPr>
          <w:rFonts w:ascii="Times New Roman" w:eastAsia="Times New Roman" w:hAnsi="Times New Roman" w:cs="Times New Roman"/>
        </w:rPr>
        <w:t>Publíquese y Cúmplase</w:t>
      </w:r>
    </w:p>
    <w:p w14:paraId="72EB16E4" w14:textId="77777777" w:rsidR="00C928E4" w:rsidRDefault="00C928E4">
      <w:pPr>
        <w:jc w:val="center"/>
        <w:rPr>
          <w:rFonts w:ascii="Times New Roman" w:eastAsia="Times New Roman" w:hAnsi="Times New Roman" w:cs="Times New Roman"/>
        </w:rPr>
      </w:pPr>
    </w:p>
    <w:p w14:paraId="3FDA1639" w14:textId="77777777" w:rsidR="00C928E4" w:rsidRDefault="00C928E4">
      <w:pPr>
        <w:jc w:val="center"/>
        <w:rPr>
          <w:rFonts w:ascii="Times New Roman" w:eastAsia="Times New Roman" w:hAnsi="Times New Roman" w:cs="Times New Roman"/>
        </w:rPr>
      </w:pPr>
    </w:p>
    <w:p w14:paraId="2C936A0A" w14:textId="77777777" w:rsidR="00C928E4" w:rsidRDefault="00C928E4">
      <w:pPr>
        <w:jc w:val="center"/>
        <w:rPr>
          <w:rFonts w:ascii="Times New Roman" w:eastAsia="Times New Roman" w:hAnsi="Times New Roman" w:cs="Times New Roman"/>
        </w:rPr>
      </w:pPr>
    </w:p>
    <w:p w14:paraId="2E57D99A" w14:textId="77777777" w:rsidR="00C928E4" w:rsidRDefault="00C2041E">
      <w:pPr>
        <w:jc w:val="both"/>
        <w:rPr>
          <w:rFonts w:ascii="Times New Roman" w:eastAsia="Times New Roman" w:hAnsi="Times New Roman" w:cs="Times New Roman"/>
          <w:b/>
        </w:rPr>
      </w:pPr>
      <w:r>
        <w:rPr>
          <w:rFonts w:ascii="Times New Roman" w:eastAsia="Times New Roman" w:hAnsi="Times New Roman" w:cs="Times New Roman"/>
          <w:b/>
        </w:rPr>
        <w:t>JULIÁN USCÁTEGUI PASTRANA</w:t>
      </w:r>
    </w:p>
    <w:p w14:paraId="7B43A5DC"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rPr>
        <w:t>Concejal de Bogotá</w:t>
      </w:r>
    </w:p>
    <w:p w14:paraId="6D3EDC9C"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rPr>
        <w:t xml:space="preserve">Partido Centro Democrático  </w:t>
      </w:r>
    </w:p>
    <w:sectPr w:rsidR="00C928E4">
      <w:headerReference w:type="default" r:id="rId12"/>
      <w:footerReference w:type="even" r:id="rId13"/>
      <w:footerReference w:type="default" r:id="rId14"/>
      <w:headerReference w:type="first" r:id="rId15"/>
      <w:pgSz w:w="12242" w:h="15842"/>
      <w:pgMar w:top="1701" w:right="1701" w:bottom="1701" w:left="1701" w:header="1134" w:footer="851"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231A97A" w14:textId="77777777" w:rsidR="00314586" w:rsidRDefault="00314586">
      <w:r>
        <w:separator/>
      </w:r>
    </w:p>
  </w:endnote>
  <w:endnote w:type="continuationSeparator" w:id="0">
    <w:p w14:paraId="70F7019F" w14:textId="77777777" w:rsidR="00314586" w:rsidRDefault="0031458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1" w:fontKey="{D29519D9-8196-4124-84C0-CD2AE88D6AC9}"/>
    <w:embedBold r:id="rId2" w:fontKey="{4FF925BD-9068-4F47-8C48-ED34913FD5D7}"/>
    <w:embedBoldItalic r:id="rId3" w:fontKey="{D6137B36-4394-47C9-A9ED-1672DE7E0A27}"/>
  </w:font>
  <w:font w:name="Calibri">
    <w:panose1 w:val="020F0502020204030204"/>
    <w:charset w:val="00"/>
    <w:family w:val="swiss"/>
    <w:pitch w:val="variable"/>
    <w:sig w:usb0="E4002EFF" w:usb1="C200247B" w:usb2="00000009" w:usb3="00000000" w:csb0="000001FF" w:csb1="00000000"/>
    <w:embedRegular r:id="rId4" w:fontKey="{78606D09-91C6-402C-BD79-7685B5D21A14}"/>
    <w:embedBold r:id="rId5" w:fontKey="{878D829E-F331-425A-8541-2E48C509BCE9}"/>
  </w:font>
  <w:font w:name="Tahoma">
    <w:panose1 w:val="020B0604030504040204"/>
    <w:charset w:val="00"/>
    <w:family w:val="swiss"/>
    <w:pitch w:val="variable"/>
    <w:sig w:usb0="E1002EFF" w:usb1="C000605B" w:usb2="00000029" w:usb3="00000000" w:csb0="000101FF" w:csb1="00000000"/>
    <w:embedRegular r:id="rId6" w:fontKey="{1A1CDF23-C4C6-4A4B-AF48-388841CD10F0}"/>
  </w:font>
  <w:font w:name="Georgia">
    <w:panose1 w:val="02040502050405020303"/>
    <w:charset w:val="00"/>
    <w:family w:val="roman"/>
    <w:pitch w:val="variable"/>
    <w:sig w:usb0="00000287" w:usb1="00000000" w:usb2="00000000" w:usb3="00000000" w:csb0="0000009F" w:csb1="00000000"/>
    <w:embedRegular r:id="rId7" w:fontKey="{0C365078-3B13-43BD-95F9-F9E991935974}"/>
    <w:embedItalic r:id="rId8" w:fontKey="{B3F47A65-E92A-4AFC-9501-087845E42BE6}"/>
  </w:font>
  <w:font w:name="Candara">
    <w:panose1 w:val="020E0502030303020204"/>
    <w:charset w:val="00"/>
    <w:family w:val="swiss"/>
    <w:pitch w:val="variable"/>
    <w:sig w:usb0="A00002EF" w:usb1="4000A44B" w:usb2="00000000" w:usb3="00000000" w:csb0="0000019F" w:csb1="00000000"/>
    <w:embedRegular r:id="rId9" w:fontKey="{66539540-1B8D-453E-A71F-8B5CE5EA11AE}"/>
  </w:font>
  <w:font w:name="Roboto">
    <w:altName w:val="Times New Roman"/>
    <w:charset w:val="00"/>
    <w:family w:val="auto"/>
    <w:pitch w:val="variable"/>
    <w:sig w:usb0="E0000AFF" w:usb1="5000217F" w:usb2="00000021" w:usb3="00000000" w:csb0="0000019F" w:csb1="00000000"/>
    <w:embedRegular r:id="rId10" w:fontKey="{8E12831F-06A9-4FFF-B443-D768F5F76629}"/>
    <w:embedBold r:id="rId11" w:fontKey="{F893B657-388F-463F-8E3F-8453E5EA4748}"/>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CD380E" w14:textId="77777777" w:rsidR="00C928E4" w:rsidRDefault="00C2041E">
    <w:pPr>
      <w:pBdr>
        <w:top w:val="nil"/>
        <w:left w:val="nil"/>
        <w:bottom w:val="nil"/>
        <w:right w:val="nil"/>
        <w:between w:val="nil"/>
      </w:pBdr>
      <w:tabs>
        <w:tab w:val="center" w:pos="4252"/>
        <w:tab w:val="right" w:pos="8504"/>
      </w:tabs>
      <w:jc w:val="right"/>
    </w:pPr>
    <w:r>
      <w:fldChar w:fldCharType="begin"/>
    </w:r>
    <w:r>
      <w:instrText>PAGE</w:instrText>
    </w:r>
    <w:r>
      <w:fldChar w:fldCharType="end"/>
    </w:r>
  </w:p>
  <w:p w14:paraId="56EC4382" w14:textId="77777777" w:rsidR="00C928E4" w:rsidRDefault="00C928E4">
    <w:pPr>
      <w:pBdr>
        <w:top w:val="nil"/>
        <w:left w:val="nil"/>
        <w:bottom w:val="nil"/>
        <w:right w:val="nil"/>
        <w:between w:val="nil"/>
      </w:pBdr>
      <w:tabs>
        <w:tab w:val="center" w:pos="4252"/>
        <w:tab w:val="right" w:pos="8504"/>
      </w:tabs>
      <w:ind w:right="360"/>
    </w:pPr>
  </w:p>
  <w:p w14:paraId="40E6A493" w14:textId="77777777" w:rsidR="00C928E4" w:rsidRDefault="00C928E4"/>
  <w:p w14:paraId="6B4466C7" w14:textId="77777777" w:rsidR="00C928E4" w:rsidRDefault="00C928E4"/>
  <w:p w14:paraId="3A27D628" w14:textId="77777777" w:rsidR="00C928E4" w:rsidRDefault="00C928E4"/>
  <w:p w14:paraId="254F8BBB" w14:textId="77777777" w:rsidR="00C928E4" w:rsidRDefault="00C928E4"/>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2803FD" w14:textId="77777777" w:rsidR="00C928E4" w:rsidRDefault="00C928E4">
    <w:pPr>
      <w:pBdr>
        <w:top w:val="nil"/>
        <w:left w:val="nil"/>
        <w:bottom w:val="nil"/>
        <w:right w:val="nil"/>
        <w:between w:val="nil"/>
      </w:pBdr>
      <w:tabs>
        <w:tab w:val="center" w:pos="4252"/>
        <w:tab w:val="right" w:pos="8504"/>
      </w:tabs>
      <w:jc w:val="center"/>
      <w:rPr>
        <w:sz w:val="18"/>
        <w:szCs w:val="18"/>
      </w:rPr>
    </w:pPr>
  </w:p>
  <w:p w14:paraId="4E2DE6BD" w14:textId="77777777" w:rsidR="00C928E4" w:rsidRDefault="00C928E4">
    <w:pPr>
      <w:pBdr>
        <w:top w:val="nil"/>
        <w:left w:val="nil"/>
        <w:bottom w:val="nil"/>
        <w:right w:val="nil"/>
        <w:between w:val="nil"/>
      </w:pBdr>
      <w:tabs>
        <w:tab w:val="center" w:pos="4252"/>
        <w:tab w:val="right" w:pos="8504"/>
      </w:tabs>
      <w:jc w:val="center"/>
      <w:rPr>
        <w:sz w:val="18"/>
        <w:szCs w:val="18"/>
      </w:rPr>
    </w:pPr>
  </w:p>
  <w:p w14:paraId="51F9B4BB" w14:textId="77777777" w:rsidR="00C928E4" w:rsidRDefault="00C928E4">
    <w:pPr>
      <w:pBdr>
        <w:top w:val="nil"/>
        <w:left w:val="nil"/>
        <w:bottom w:val="nil"/>
        <w:right w:val="nil"/>
        <w:between w:val="nil"/>
      </w:pBdr>
      <w:tabs>
        <w:tab w:val="center" w:pos="4252"/>
        <w:tab w:val="right" w:pos="8504"/>
      </w:tabs>
      <w:jc w:val="center"/>
      <w:rPr>
        <w:sz w:val="16"/>
        <w:szCs w:val="16"/>
      </w:rPr>
    </w:pPr>
  </w:p>
  <w:p w14:paraId="73973C21" w14:textId="77777777" w:rsidR="00C928E4" w:rsidRDefault="00C928E4">
    <w:pPr>
      <w:pBdr>
        <w:top w:val="nil"/>
        <w:left w:val="nil"/>
        <w:bottom w:val="nil"/>
        <w:right w:val="nil"/>
        <w:between w:val="nil"/>
      </w:pBdr>
      <w:tabs>
        <w:tab w:val="center" w:pos="4252"/>
        <w:tab w:val="right" w:pos="8504"/>
      </w:tabs>
      <w:rPr>
        <w:sz w:val="16"/>
        <w:szCs w:val="16"/>
      </w:rPr>
    </w:pPr>
  </w:p>
  <w:p w14:paraId="0BEAA1CC" w14:textId="77777777" w:rsidR="00C928E4" w:rsidRDefault="00C928E4">
    <w:pPr>
      <w:pBdr>
        <w:top w:val="nil"/>
        <w:left w:val="nil"/>
        <w:bottom w:val="nil"/>
        <w:right w:val="nil"/>
        <w:between w:val="nil"/>
      </w:pBdr>
      <w:tabs>
        <w:tab w:val="center" w:pos="4252"/>
        <w:tab w:val="right" w:pos="8504"/>
      </w:tabs>
      <w:rPr>
        <w:sz w:val="16"/>
        <w:szCs w:val="16"/>
      </w:rPr>
    </w:pPr>
  </w:p>
  <w:p w14:paraId="434DC07D" w14:textId="77777777" w:rsidR="00C928E4" w:rsidRDefault="00C928E4">
    <w:pPr>
      <w:jc w:val="right"/>
      <w:rPr>
        <w:b/>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21D32A8" w14:textId="77777777" w:rsidR="00314586" w:rsidRDefault="00314586">
      <w:r>
        <w:separator/>
      </w:r>
    </w:p>
  </w:footnote>
  <w:footnote w:type="continuationSeparator" w:id="0">
    <w:p w14:paraId="1858A075" w14:textId="77777777" w:rsidR="00314586" w:rsidRDefault="00314586">
      <w:r>
        <w:continuationSeparator/>
      </w:r>
    </w:p>
  </w:footnote>
  <w:footnote w:id="1">
    <w:p w14:paraId="0427E1FB" w14:textId="77777777" w:rsidR="00C928E4" w:rsidRDefault="00C2041E">
      <w:pPr>
        <w:rPr>
          <w:sz w:val="20"/>
          <w:szCs w:val="20"/>
        </w:rPr>
      </w:pPr>
      <w:r>
        <w:rPr>
          <w:vertAlign w:val="superscript"/>
        </w:rPr>
        <w:footnoteRef/>
      </w:r>
      <w:r>
        <w:rPr>
          <w:sz w:val="20"/>
          <w:szCs w:val="20"/>
        </w:rPr>
        <w:t xml:space="preserve"> </w:t>
      </w:r>
      <w:hyperlink r:id="rId1">
        <w:r>
          <w:rPr>
            <w:color w:val="1155CC"/>
            <w:sz w:val="20"/>
            <w:szCs w:val="20"/>
            <w:u w:val="single"/>
          </w:rPr>
          <w:t>https://observatorio.desarrolloeconomico.gov.co/temas/dinamica-empresarial/informes</w:t>
        </w:r>
      </w:hyperlink>
      <w:r>
        <w:rPr>
          <w:sz w:val="20"/>
          <w:szCs w:val="20"/>
        </w:rPr>
        <w:t xml:space="preserve"> </w:t>
      </w:r>
    </w:p>
  </w:footnote>
  <w:footnote w:id="2">
    <w:p w14:paraId="09150319" w14:textId="77777777" w:rsidR="00C928E4" w:rsidRDefault="00C2041E">
      <w:pPr>
        <w:rPr>
          <w:rFonts w:ascii="Times New Roman" w:eastAsia="Times New Roman" w:hAnsi="Times New Roman" w:cs="Times New Roman"/>
          <w:i/>
          <w:sz w:val="20"/>
          <w:szCs w:val="20"/>
        </w:rPr>
      </w:pPr>
      <w:r>
        <w:rPr>
          <w:vertAlign w:val="superscript"/>
        </w:rPr>
        <w:footnoteRef/>
      </w:r>
      <w:r>
        <w:rPr>
          <w:sz w:val="20"/>
          <w:szCs w:val="20"/>
        </w:rPr>
        <w:t xml:space="preserve"> </w:t>
      </w:r>
      <w:r>
        <w:rPr>
          <w:rFonts w:ascii="Times New Roman" w:eastAsia="Times New Roman" w:hAnsi="Times New Roman" w:cs="Times New Roman"/>
          <w:i/>
          <w:sz w:val="20"/>
          <w:szCs w:val="20"/>
        </w:rPr>
        <w:t>Ibidem</w:t>
      </w:r>
    </w:p>
  </w:footnote>
  <w:footnote w:id="3">
    <w:p w14:paraId="0624904E" w14:textId="77777777" w:rsidR="00C928E4" w:rsidRDefault="00C2041E">
      <w:pPr>
        <w:rPr>
          <w:sz w:val="20"/>
          <w:szCs w:val="20"/>
        </w:rPr>
      </w:pPr>
      <w:r>
        <w:rPr>
          <w:vertAlign w:val="superscript"/>
        </w:rPr>
        <w:footnoteRef/>
      </w:r>
      <w:r>
        <w:rPr>
          <w:sz w:val="20"/>
          <w:szCs w:val="20"/>
        </w:rPr>
        <w:t xml:space="preserve"> </w:t>
      </w:r>
      <w:hyperlink r:id="rId2">
        <w:r>
          <w:rPr>
            <w:color w:val="1155CC"/>
            <w:sz w:val="20"/>
            <w:szCs w:val="20"/>
            <w:u w:val="single"/>
          </w:rPr>
          <w:t>https://www.sdp.gov.co/sites/default/files/informalidad_empresarial_bogota_2015_0.pdf</w:t>
        </w:r>
      </w:hyperlink>
      <w:r>
        <w:rPr>
          <w:sz w:val="20"/>
          <w:szCs w:val="20"/>
        </w:rPr>
        <w:t xml:space="preserve"> </w:t>
      </w:r>
    </w:p>
  </w:footnote>
  <w:footnote w:id="4">
    <w:p w14:paraId="43C0B8FB" w14:textId="77777777" w:rsidR="00C928E4" w:rsidRDefault="00C2041E">
      <w:pPr>
        <w:rPr>
          <w:sz w:val="20"/>
          <w:szCs w:val="20"/>
        </w:rPr>
      </w:pPr>
      <w:r>
        <w:rPr>
          <w:vertAlign w:val="superscript"/>
        </w:rPr>
        <w:footnoteRef/>
      </w:r>
      <w:hyperlink r:id="rId3">
        <w:r>
          <w:rPr>
            <w:color w:val="1155CC"/>
            <w:sz w:val="20"/>
            <w:szCs w:val="20"/>
            <w:u w:val="single"/>
          </w:rPr>
          <w:t>https://www.mincit.gov.co/servicio-al-ciudadano/preguntas-frecuentes/mipymes</w:t>
        </w:r>
      </w:hyperlink>
      <w:r>
        <w:rPr>
          <w:sz w:val="20"/>
          <w:szCs w:val="20"/>
        </w:rPr>
        <w:t xml:space="preserve">? </w:t>
      </w:r>
    </w:p>
  </w:footnote>
  <w:footnote w:id="5">
    <w:p w14:paraId="53855B4F" w14:textId="77777777" w:rsidR="00C928E4" w:rsidRDefault="00C2041E">
      <w:pPr>
        <w:rPr>
          <w:sz w:val="20"/>
          <w:szCs w:val="20"/>
        </w:rPr>
      </w:pPr>
      <w:r>
        <w:rPr>
          <w:vertAlign w:val="superscript"/>
        </w:rPr>
        <w:footnoteRef/>
      </w:r>
      <w:r>
        <w:rPr>
          <w:sz w:val="20"/>
          <w:szCs w:val="20"/>
        </w:rPr>
        <w:t xml:space="preserve"> https://bogota.gov.co/mi-ciudad/desarrollo-economico/paso-paso-para-constituir-una-empresa-en-bogota</w:t>
      </w:r>
    </w:p>
  </w:footnote>
  <w:footnote w:id="6">
    <w:p w14:paraId="3E0CD5A4" w14:textId="77777777" w:rsidR="00C928E4" w:rsidRDefault="00C2041E">
      <w:pPr>
        <w:rPr>
          <w:sz w:val="20"/>
          <w:szCs w:val="20"/>
        </w:rPr>
      </w:pPr>
      <w:r>
        <w:rPr>
          <w:vertAlign w:val="superscript"/>
        </w:rPr>
        <w:footnoteRef/>
      </w:r>
      <w:r>
        <w:rPr>
          <w:sz w:val="20"/>
          <w:szCs w:val="20"/>
        </w:rPr>
        <w:t xml:space="preserve"> cua-64-bigdatainform_20231218_v4 (1).pdf</w:t>
      </w:r>
    </w:p>
  </w:footnote>
  <w:footnote w:id="7">
    <w:p w14:paraId="0D6CDCA8" w14:textId="77777777" w:rsidR="00C928E4" w:rsidRDefault="00C2041E">
      <w:pPr>
        <w:rPr>
          <w:sz w:val="20"/>
          <w:szCs w:val="20"/>
        </w:rPr>
      </w:pPr>
      <w:r>
        <w:rPr>
          <w:vertAlign w:val="superscript"/>
        </w:rPr>
        <w:footnoteRef/>
      </w:r>
      <w:r>
        <w:rPr>
          <w:sz w:val="20"/>
          <w:szCs w:val="20"/>
        </w:rPr>
        <w:t xml:space="preserve"> cua-64-bigdatainform_20231218_v4 (1).pdf</w:t>
      </w:r>
    </w:p>
  </w:footnote>
  <w:footnote w:id="8">
    <w:p w14:paraId="2459D7F9" w14:textId="77777777" w:rsidR="00C928E4" w:rsidRDefault="00C2041E">
      <w:pPr>
        <w:rPr>
          <w:sz w:val="20"/>
          <w:szCs w:val="20"/>
        </w:rPr>
      </w:pPr>
      <w:r>
        <w:rPr>
          <w:vertAlign w:val="superscript"/>
        </w:rPr>
        <w:footnoteRef/>
      </w:r>
      <w:r>
        <w:rPr>
          <w:sz w:val="20"/>
          <w:szCs w:val="20"/>
        </w:rPr>
        <w:t xml:space="preserve"> https://www.elpais.com.co/colombia/427-800-micronegocios-en-colombia-cerraron-durante-los-meses-de-pandemia-dane.html?</w:t>
      </w:r>
    </w:p>
  </w:footnote>
  <w:footnote w:id="9">
    <w:p w14:paraId="25BF351D" w14:textId="77777777" w:rsidR="00C928E4" w:rsidRDefault="00C2041E">
      <w:pPr>
        <w:rPr>
          <w:sz w:val="20"/>
          <w:szCs w:val="20"/>
        </w:rPr>
      </w:pPr>
      <w:r>
        <w:rPr>
          <w:vertAlign w:val="superscript"/>
        </w:rPr>
        <w:footnoteRef/>
      </w:r>
      <w:r>
        <w:rPr>
          <w:sz w:val="20"/>
          <w:szCs w:val="20"/>
        </w:rPr>
        <w:t xml:space="preserve"> https://bogota.gov.co/mi-ciudad/desarrollo-economico/requisitos-para-inscribirse-microempresa-local-apoyos-economicos?</w:t>
      </w:r>
    </w:p>
  </w:footnote>
  <w:footnote w:id="10">
    <w:p w14:paraId="33656237" w14:textId="77777777" w:rsidR="00C928E4" w:rsidRDefault="00C2041E">
      <w:pPr>
        <w:rPr>
          <w:sz w:val="20"/>
          <w:szCs w:val="20"/>
        </w:rPr>
      </w:pPr>
      <w:r>
        <w:rPr>
          <w:vertAlign w:val="superscript"/>
        </w:rPr>
        <w:footnoteRef/>
      </w:r>
      <w:r>
        <w:rPr>
          <w:sz w:val="20"/>
          <w:szCs w:val="20"/>
        </w:rPr>
        <w:t xml:space="preserve"> https://bogota.gov.co/mi-ciudad/desarrollo-economico/accede-financiacion-formal-para-empresas-y-pymes-en-bogota?</w:t>
      </w:r>
    </w:p>
  </w:footnote>
  <w:footnote w:id="11">
    <w:p w14:paraId="5375B929" w14:textId="77777777" w:rsidR="00C928E4" w:rsidRDefault="00C2041E">
      <w:pPr>
        <w:rPr>
          <w:sz w:val="20"/>
          <w:szCs w:val="20"/>
        </w:rPr>
      </w:pPr>
      <w:r>
        <w:rPr>
          <w:vertAlign w:val="superscript"/>
        </w:rPr>
        <w:footnoteRef/>
      </w:r>
      <w:r>
        <w:rPr>
          <w:sz w:val="20"/>
          <w:szCs w:val="20"/>
        </w:rPr>
        <w:t xml:space="preserve"> https://bogota.gov.co/mi-ciudad/desarrollo-economico/entorno-detalles-del-programa-de-la-alcaldia-para-las-pymes?</w:t>
      </w:r>
    </w:p>
  </w:footnote>
  <w:footnote w:id="12">
    <w:p w14:paraId="664D4A49" w14:textId="77777777" w:rsidR="00C928E4" w:rsidRDefault="00C2041E">
      <w:pPr>
        <w:rPr>
          <w:sz w:val="20"/>
          <w:szCs w:val="20"/>
        </w:rPr>
      </w:pPr>
      <w:r>
        <w:rPr>
          <w:vertAlign w:val="superscript"/>
        </w:rPr>
        <w:footnoteRef/>
      </w:r>
      <w:r>
        <w:rPr>
          <w:sz w:val="20"/>
          <w:szCs w:val="20"/>
        </w:rPr>
        <w:t xml:space="preserve"> chrome-extension://efaidnbmnnnibpcajpcglclefindmkaj/https://back.haciendabogota.gov.co/sites/default/files/files/impuestos/Ruta-formalizacion-empresarial-SHD(2).pdf</w:t>
      </w:r>
    </w:p>
  </w:footnote>
  <w:footnote w:id="13">
    <w:p w14:paraId="3E27BE0B" w14:textId="77777777" w:rsidR="00C928E4" w:rsidRDefault="00C2041E">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Observatorio de Desarrollo Economico - Secretaria Distrital de Desarrollo Economico:  https://observatorio.desarrolloeconomico.gov.co/monitor-mipyme</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A07E07" w14:textId="77777777" w:rsidR="00C928E4" w:rsidRDefault="00C928E4">
    <w:pPr>
      <w:widowControl w:val="0"/>
      <w:pBdr>
        <w:top w:val="nil"/>
        <w:left w:val="nil"/>
        <w:bottom w:val="nil"/>
        <w:right w:val="nil"/>
        <w:between w:val="nil"/>
      </w:pBdr>
      <w:spacing w:line="276" w:lineRule="auto"/>
      <w:rPr>
        <w:sz w:val="20"/>
        <w:szCs w:val="20"/>
      </w:rPr>
    </w:pPr>
  </w:p>
  <w:tbl>
    <w:tblPr>
      <w:tblStyle w:val="a5"/>
      <w:tblW w:w="8830" w:type="dxa"/>
      <w:tblInd w:w="0" w:type="dxa"/>
      <w:tblLayout w:type="fixed"/>
      <w:tblLook w:val="0000" w:firstRow="0" w:lastRow="0" w:firstColumn="0" w:lastColumn="0" w:noHBand="0" w:noVBand="0"/>
    </w:tblPr>
    <w:tblGrid>
      <w:gridCol w:w="2361"/>
      <w:gridCol w:w="4235"/>
      <w:gridCol w:w="2234"/>
    </w:tblGrid>
    <w:tr w:rsidR="00C928E4" w14:paraId="7DC6A4A5" w14:textId="77777777">
      <w:trPr>
        <w:trHeight w:val="454"/>
      </w:trPr>
      <w:tc>
        <w:tcPr>
          <w:tcW w:w="2361" w:type="dxa"/>
          <w:vMerge w:val="restart"/>
          <w:tcBorders>
            <w:top w:val="single" w:sz="4" w:space="0" w:color="000000"/>
            <w:left w:val="single" w:sz="4" w:space="0" w:color="000000"/>
            <w:right w:val="single" w:sz="4" w:space="0" w:color="000000"/>
          </w:tcBorders>
          <w:vAlign w:val="center"/>
        </w:tcPr>
        <w:p w14:paraId="4F0FAA95" w14:textId="77777777" w:rsidR="00C928E4" w:rsidRDefault="00C928E4">
          <w:pPr>
            <w:jc w:val="center"/>
            <w:rPr>
              <w:sz w:val="16"/>
              <w:szCs w:val="16"/>
            </w:rPr>
          </w:pPr>
        </w:p>
      </w:tc>
      <w:tc>
        <w:tcPr>
          <w:tcW w:w="4235" w:type="dxa"/>
          <w:tcBorders>
            <w:top w:val="single" w:sz="4" w:space="0" w:color="000000"/>
            <w:left w:val="nil"/>
            <w:bottom w:val="single" w:sz="4" w:space="0" w:color="000000"/>
            <w:right w:val="single" w:sz="4" w:space="0" w:color="000000"/>
          </w:tcBorders>
          <w:vAlign w:val="center"/>
        </w:tcPr>
        <w:p w14:paraId="27100061" w14:textId="77777777" w:rsidR="00C928E4" w:rsidRDefault="00C2041E">
          <w:pPr>
            <w:jc w:val="center"/>
            <w:rPr>
              <w:sz w:val="18"/>
              <w:szCs w:val="18"/>
            </w:rPr>
          </w:pPr>
          <w:r>
            <w:rPr>
              <w:sz w:val="18"/>
              <w:szCs w:val="18"/>
            </w:rPr>
            <w:t>PROCESO GESTIÓN NORMATIVA</w:t>
          </w:r>
        </w:p>
      </w:tc>
      <w:tc>
        <w:tcPr>
          <w:tcW w:w="2234" w:type="dxa"/>
          <w:tcBorders>
            <w:top w:val="single" w:sz="4" w:space="0" w:color="000000"/>
            <w:left w:val="nil"/>
            <w:bottom w:val="single" w:sz="4" w:space="0" w:color="000000"/>
            <w:right w:val="single" w:sz="4" w:space="0" w:color="000000"/>
          </w:tcBorders>
          <w:vAlign w:val="center"/>
        </w:tcPr>
        <w:p w14:paraId="2BEB5272" w14:textId="77777777" w:rsidR="00C928E4" w:rsidRDefault="00C2041E">
          <w:pPr>
            <w:rPr>
              <w:sz w:val="16"/>
              <w:szCs w:val="16"/>
            </w:rPr>
          </w:pPr>
          <w:r>
            <w:rPr>
              <w:sz w:val="16"/>
              <w:szCs w:val="16"/>
            </w:rPr>
            <w:t>CÓDIGO</w:t>
          </w:r>
          <w:r>
            <w:rPr>
              <w:color w:val="3366FF"/>
              <w:sz w:val="16"/>
              <w:szCs w:val="16"/>
            </w:rPr>
            <w:t xml:space="preserve">: </w:t>
          </w:r>
          <w:r>
            <w:rPr>
              <w:sz w:val="16"/>
              <w:szCs w:val="16"/>
            </w:rPr>
            <w:t>GNV-FO-001</w:t>
          </w:r>
        </w:p>
      </w:tc>
    </w:tr>
    <w:tr w:rsidR="00C928E4" w14:paraId="7439C32E" w14:textId="77777777">
      <w:trPr>
        <w:trHeight w:val="454"/>
      </w:trPr>
      <w:tc>
        <w:tcPr>
          <w:tcW w:w="2361" w:type="dxa"/>
          <w:vMerge/>
          <w:tcBorders>
            <w:top w:val="single" w:sz="4" w:space="0" w:color="000000"/>
            <w:left w:val="single" w:sz="4" w:space="0" w:color="000000"/>
            <w:right w:val="single" w:sz="4" w:space="0" w:color="000000"/>
          </w:tcBorders>
          <w:vAlign w:val="center"/>
        </w:tcPr>
        <w:p w14:paraId="48A747D9" w14:textId="77777777" w:rsidR="00C928E4" w:rsidRDefault="00C928E4">
          <w:pPr>
            <w:widowControl w:val="0"/>
            <w:pBdr>
              <w:top w:val="nil"/>
              <w:left w:val="nil"/>
              <w:bottom w:val="nil"/>
              <w:right w:val="nil"/>
              <w:between w:val="nil"/>
            </w:pBdr>
            <w:spacing w:line="276" w:lineRule="auto"/>
            <w:rPr>
              <w:sz w:val="16"/>
              <w:szCs w:val="16"/>
            </w:rPr>
          </w:pPr>
        </w:p>
      </w:tc>
      <w:tc>
        <w:tcPr>
          <w:tcW w:w="4235" w:type="dxa"/>
          <w:vMerge w:val="restart"/>
          <w:tcBorders>
            <w:top w:val="single" w:sz="4" w:space="0" w:color="000000"/>
            <w:left w:val="nil"/>
            <w:right w:val="single" w:sz="4" w:space="0" w:color="000000"/>
          </w:tcBorders>
          <w:vAlign w:val="center"/>
        </w:tcPr>
        <w:p w14:paraId="547C3E0D" w14:textId="77777777" w:rsidR="00C928E4" w:rsidRDefault="00C2041E">
          <w:pPr>
            <w:jc w:val="center"/>
            <w:rPr>
              <w:sz w:val="20"/>
              <w:szCs w:val="20"/>
            </w:rPr>
          </w:pPr>
          <w:r>
            <w:rPr>
              <w:sz w:val="20"/>
              <w:szCs w:val="20"/>
            </w:rPr>
            <w:t>PRESENTACIÓN PROYECTOS DE ACUERDO</w:t>
          </w:r>
        </w:p>
      </w:tc>
      <w:tc>
        <w:tcPr>
          <w:tcW w:w="2234" w:type="dxa"/>
          <w:tcBorders>
            <w:top w:val="single" w:sz="4" w:space="0" w:color="000000"/>
            <w:left w:val="nil"/>
            <w:bottom w:val="single" w:sz="4" w:space="0" w:color="000000"/>
            <w:right w:val="single" w:sz="4" w:space="0" w:color="000000"/>
          </w:tcBorders>
          <w:vAlign w:val="center"/>
        </w:tcPr>
        <w:p w14:paraId="3D6559FB" w14:textId="77777777" w:rsidR="00C928E4" w:rsidRDefault="00C2041E">
          <w:pPr>
            <w:rPr>
              <w:sz w:val="16"/>
              <w:szCs w:val="16"/>
            </w:rPr>
          </w:pPr>
          <w:r>
            <w:rPr>
              <w:sz w:val="16"/>
              <w:szCs w:val="16"/>
            </w:rPr>
            <w:t>VERSIÓN:    02</w:t>
          </w:r>
        </w:p>
      </w:tc>
    </w:tr>
    <w:tr w:rsidR="00C928E4" w14:paraId="4A37040E" w14:textId="77777777">
      <w:trPr>
        <w:trHeight w:val="454"/>
      </w:trPr>
      <w:tc>
        <w:tcPr>
          <w:tcW w:w="2361" w:type="dxa"/>
          <w:vMerge/>
          <w:tcBorders>
            <w:top w:val="single" w:sz="4" w:space="0" w:color="000000"/>
            <w:left w:val="single" w:sz="4" w:space="0" w:color="000000"/>
            <w:right w:val="single" w:sz="4" w:space="0" w:color="000000"/>
          </w:tcBorders>
          <w:vAlign w:val="center"/>
        </w:tcPr>
        <w:p w14:paraId="6701A31C" w14:textId="77777777" w:rsidR="00C928E4" w:rsidRDefault="00C928E4">
          <w:pPr>
            <w:widowControl w:val="0"/>
            <w:pBdr>
              <w:top w:val="nil"/>
              <w:left w:val="nil"/>
              <w:bottom w:val="nil"/>
              <w:right w:val="nil"/>
              <w:between w:val="nil"/>
            </w:pBdr>
            <w:spacing w:line="276" w:lineRule="auto"/>
            <w:rPr>
              <w:sz w:val="16"/>
              <w:szCs w:val="16"/>
            </w:rPr>
          </w:pPr>
        </w:p>
      </w:tc>
      <w:tc>
        <w:tcPr>
          <w:tcW w:w="4235" w:type="dxa"/>
          <w:vMerge/>
          <w:tcBorders>
            <w:top w:val="single" w:sz="4" w:space="0" w:color="000000"/>
            <w:left w:val="nil"/>
            <w:right w:val="single" w:sz="4" w:space="0" w:color="000000"/>
          </w:tcBorders>
          <w:vAlign w:val="center"/>
        </w:tcPr>
        <w:p w14:paraId="44DB5C7D" w14:textId="77777777" w:rsidR="00C928E4" w:rsidRDefault="00C928E4">
          <w:pPr>
            <w:widowControl w:val="0"/>
            <w:pBdr>
              <w:top w:val="nil"/>
              <w:left w:val="nil"/>
              <w:bottom w:val="nil"/>
              <w:right w:val="nil"/>
              <w:between w:val="nil"/>
            </w:pBdr>
            <w:spacing w:line="276" w:lineRule="auto"/>
            <w:rPr>
              <w:sz w:val="16"/>
              <w:szCs w:val="16"/>
            </w:rPr>
          </w:pPr>
        </w:p>
      </w:tc>
      <w:tc>
        <w:tcPr>
          <w:tcW w:w="2234" w:type="dxa"/>
          <w:tcBorders>
            <w:top w:val="single" w:sz="4" w:space="0" w:color="000000"/>
            <w:left w:val="nil"/>
            <w:bottom w:val="single" w:sz="4" w:space="0" w:color="000000"/>
            <w:right w:val="single" w:sz="4" w:space="0" w:color="000000"/>
          </w:tcBorders>
          <w:vAlign w:val="center"/>
        </w:tcPr>
        <w:p w14:paraId="2E77EFCB" w14:textId="77777777" w:rsidR="00C928E4" w:rsidRDefault="00C2041E">
          <w:pPr>
            <w:rPr>
              <w:sz w:val="16"/>
              <w:szCs w:val="16"/>
            </w:rPr>
          </w:pPr>
          <w:r>
            <w:rPr>
              <w:sz w:val="16"/>
              <w:szCs w:val="16"/>
            </w:rPr>
            <w:t>FECHA: 14-Nov-2019</w:t>
          </w:r>
        </w:p>
      </w:tc>
    </w:tr>
  </w:tbl>
  <w:p w14:paraId="3BA3679A" w14:textId="77777777" w:rsidR="00C928E4" w:rsidRDefault="00C2041E">
    <w:pPr>
      <w:pBdr>
        <w:top w:val="nil"/>
        <w:left w:val="nil"/>
        <w:bottom w:val="nil"/>
        <w:right w:val="nil"/>
        <w:between w:val="nil"/>
      </w:pBdr>
      <w:tabs>
        <w:tab w:val="center" w:pos="4252"/>
        <w:tab w:val="right" w:pos="8504"/>
      </w:tabs>
    </w:pPr>
    <w:r>
      <w:rPr>
        <w:noProof/>
        <w:lang w:val="es-CO"/>
      </w:rPr>
      <w:drawing>
        <wp:anchor distT="0" distB="0" distL="0" distR="0" simplePos="0" relativeHeight="251658240" behindDoc="1" locked="0" layoutInCell="1" hidden="0" allowOverlap="1" wp14:anchorId="67ECEDC1" wp14:editId="0769E2A1">
          <wp:simplePos x="0" y="0"/>
          <wp:positionH relativeFrom="column">
            <wp:posOffset>441325</wp:posOffset>
          </wp:positionH>
          <wp:positionV relativeFrom="paragraph">
            <wp:posOffset>-890261</wp:posOffset>
          </wp:positionV>
          <wp:extent cx="752475" cy="885825"/>
          <wp:effectExtent l="0" t="0" r="0" b="0"/>
          <wp:wrapNone/>
          <wp:docPr id="21"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
                  <a:srcRect/>
                  <a:stretch>
                    <a:fillRect/>
                  </a:stretch>
                </pic:blipFill>
                <pic:spPr>
                  <a:xfrm>
                    <a:off x="0" y="0"/>
                    <a:ext cx="752475" cy="885825"/>
                  </a:xfrm>
                  <a:prstGeom prst="rect">
                    <a:avLst/>
                  </a:prstGeom>
                  <a:ln/>
                </pic:spPr>
              </pic:pic>
            </a:graphicData>
          </a:graphic>
        </wp:anchor>
      </w:drawing>
    </w:r>
  </w:p>
  <w:p w14:paraId="06CA429C" w14:textId="77777777" w:rsidR="00C928E4" w:rsidRDefault="00C928E4"/>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5"/>
      <w:tblW w:w="8830" w:type="dxa"/>
      <w:tblInd w:w="0" w:type="dxa"/>
      <w:tblLayout w:type="fixed"/>
      <w:tblLook w:val="0000" w:firstRow="0" w:lastRow="0" w:firstColumn="0" w:lastColumn="0" w:noHBand="0" w:noVBand="0"/>
    </w:tblPr>
    <w:tblGrid>
      <w:gridCol w:w="2361"/>
      <w:gridCol w:w="4235"/>
      <w:gridCol w:w="2234"/>
    </w:tblGrid>
    <w:tr w:rsidR="00C2041E" w14:paraId="2C8F298E" w14:textId="77777777" w:rsidTr="00426322">
      <w:trPr>
        <w:trHeight w:val="454"/>
      </w:trPr>
      <w:tc>
        <w:tcPr>
          <w:tcW w:w="2361" w:type="dxa"/>
          <w:vMerge w:val="restart"/>
          <w:tcBorders>
            <w:top w:val="single" w:sz="4" w:space="0" w:color="000000"/>
            <w:left w:val="single" w:sz="4" w:space="0" w:color="000000"/>
            <w:right w:val="single" w:sz="4" w:space="0" w:color="000000"/>
          </w:tcBorders>
          <w:vAlign w:val="center"/>
        </w:tcPr>
        <w:p w14:paraId="1BF8A324" w14:textId="594EB377" w:rsidR="00C2041E" w:rsidRDefault="00C2041E" w:rsidP="00C2041E">
          <w:pPr>
            <w:jc w:val="center"/>
            <w:rPr>
              <w:sz w:val="16"/>
              <w:szCs w:val="16"/>
            </w:rPr>
          </w:pPr>
          <w:r>
            <w:rPr>
              <w:noProof/>
              <w:sz w:val="16"/>
              <w:szCs w:val="16"/>
              <w:lang w:val="es-CO"/>
            </w:rPr>
            <w:drawing>
              <wp:inline distT="0" distB="0" distL="0" distR="0" wp14:anchorId="158125D7" wp14:editId="12120B78">
                <wp:extent cx="749935" cy="883920"/>
                <wp:effectExtent l="0" t="0" r="0" b="0"/>
                <wp:docPr id="154298040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9935" cy="883920"/>
                        </a:xfrm>
                        <a:prstGeom prst="rect">
                          <a:avLst/>
                        </a:prstGeom>
                        <a:noFill/>
                      </pic:spPr>
                    </pic:pic>
                  </a:graphicData>
                </a:graphic>
              </wp:inline>
            </w:drawing>
          </w:r>
        </w:p>
      </w:tc>
      <w:tc>
        <w:tcPr>
          <w:tcW w:w="4235" w:type="dxa"/>
          <w:tcBorders>
            <w:top w:val="single" w:sz="4" w:space="0" w:color="000000"/>
            <w:left w:val="nil"/>
            <w:bottom w:val="single" w:sz="4" w:space="0" w:color="000000"/>
            <w:right w:val="single" w:sz="4" w:space="0" w:color="000000"/>
          </w:tcBorders>
          <w:vAlign w:val="center"/>
        </w:tcPr>
        <w:p w14:paraId="2C976EF3" w14:textId="77777777" w:rsidR="00C2041E" w:rsidRDefault="00C2041E" w:rsidP="00C2041E">
          <w:pPr>
            <w:jc w:val="center"/>
            <w:rPr>
              <w:sz w:val="18"/>
              <w:szCs w:val="18"/>
            </w:rPr>
          </w:pPr>
          <w:r>
            <w:rPr>
              <w:sz w:val="18"/>
              <w:szCs w:val="18"/>
            </w:rPr>
            <w:t>PROCESO GESTIÓN NORMATIVA</w:t>
          </w:r>
        </w:p>
      </w:tc>
      <w:tc>
        <w:tcPr>
          <w:tcW w:w="2234" w:type="dxa"/>
          <w:tcBorders>
            <w:top w:val="single" w:sz="4" w:space="0" w:color="000000"/>
            <w:left w:val="nil"/>
            <w:bottom w:val="single" w:sz="4" w:space="0" w:color="000000"/>
            <w:right w:val="single" w:sz="4" w:space="0" w:color="000000"/>
          </w:tcBorders>
          <w:vAlign w:val="center"/>
        </w:tcPr>
        <w:p w14:paraId="48883612" w14:textId="77777777" w:rsidR="00C2041E" w:rsidRDefault="00C2041E" w:rsidP="00C2041E">
          <w:pPr>
            <w:rPr>
              <w:sz w:val="16"/>
              <w:szCs w:val="16"/>
            </w:rPr>
          </w:pPr>
          <w:r>
            <w:rPr>
              <w:sz w:val="16"/>
              <w:szCs w:val="16"/>
            </w:rPr>
            <w:t>CÓDIGO</w:t>
          </w:r>
          <w:r>
            <w:rPr>
              <w:color w:val="3366FF"/>
              <w:sz w:val="16"/>
              <w:szCs w:val="16"/>
            </w:rPr>
            <w:t xml:space="preserve">: </w:t>
          </w:r>
          <w:r>
            <w:rPr>
              <w:sz w:val="16"/>
              <w:szCs w:val="16"/>
            </w:rPr>
            <w:t>GNV-FO-001</w:t>
          </w:r>
        </w:p>
      </w:tc>
    </w:tr>
    <w:tr w:rsidR="00C2041E" w14:paraId="66F9ADD4" w14:textId="77777777" w:rsidTr="00426322">
      <w:trPr>
        <w:trHeight w:val="454"/>
      </w:trPr>
      <w:tc>
        <w:tcPr>
          <w:tcW w:w="2361" w:type="dxa"/>
          <w:vMerge/>
          <w:tcBorders>
            <w:top w:val="single" w:sz="4" w:space="0" w:color="000000"/>
            <w:left w:val="single" w:sz="4" w:space="0" w:color="000000"/>
            <w:right w:val="single" w:sz="4" w:space="0" w:color="000000"/>
          </w:tcBorders>
          <w:vAlign w:val="center"/>
        </w:tcPr>
        <w:p w14:paraId="0B39FE56" w14:textId="77777777" w:rsidR="00C2041E" w:rsidRDefault="00C2041E" w:rsidP="00C2041E">
          <w:pPr>
            <w:widowControl w:val="0"/>
            <w:pBdr>
              <w:top w:val="nil"/>
              <w:left w:val="nil"/>
              <w:bottom w:val="nil"/>
              <w:right w:val="nil"/>
              <w:between w:val="nil"/>
            </w:pBdr>
            <w:spacing w:line="276" w:lineRule="auto"/>
            <w:rPr>
              <w:sz w:val="16"/>
              <w:szCs w:val="16"/>
            </w:rPr>
          </w:pPr>
        </w:p>
      </w:tc>
      <w:tc>
        <w:tcPr>
          <w:tcW w:w="4235" w:type="dxa"/>
          <w:vMerge w:val="restart"/>
          <w:tcBorders>
            <w:top w:val="single" w:sz="4" w:space="0" w:color="000000"/>
            <w:left w:val="nil"/>
            <w:right w:val="single" w:sz="4" w:space="0" w:color="000000"/>
          </w:tcBorders>
          <w:vAlign w:val="center"/>
        </w:tcPr>
        <w:p w14:paraId="4ADEE33D" w14:textId="77777777" w:rsidR="00C2041E" w:rsidRDefault="00C2041E" w:rsidP="00C2041E">
          <w:pPr>
            <w:jc w:val="center"/>
            <w:rPr>
              <w:sz w:val="20"/>
              <w:szCs w:val="20"/>
            </w:rPr>
          </w:pPr>
          <w:r>
            <w:rPr>
              <w:sz w:val="20"/>
              <w:szCs w:val="20"/>
            </w:rPr>
            <w:t>PRESENTACIÓN PROYECTOS DE ACUERDO</w:t>
          </w:r>
        </w:p>
      </w:tc>
      <w:tc>
        <w:tcPr>
          <w:tcW w:w="2234" w:type="dxa"/>
          <w:tcBorders>
            <w:top w:val="single" w:sz="4" w:space="0" w:color="000000"/>
            <w:left w:val="nil"/>
            <w:bottom w:val="single" w:sz="4" w:space="0" w:color="000000"/>
            <w:right w:val="single" w:sz="4" w:space="0" w:color="000000"/>
          </w:tcBorders>
          <w:vAlign w:val="center"/>
        </w:tcPr>
        <w:p w14:paraId="63C06543" w14:textId="77777777" w:rsidR="00C2041E" w:rsidRDefault="00C2041E" w:rsidP="00C2041E">
          <w:pPr>
            <w:rPr>
              <w:sz w:val="16"/>
              <w:szCs w:val="16"/>
            </w:rPr>
          </w:pPr>
          <w:r>
            <w:rPr>
              <w:sz w:val="16"/>
              <w:szCs w:val="16"/>
            </w:rPr>
            <w:t>VERSIÓN:    02</w:t>
          </w:r>
        </w:p>
      </w:tc>
    </w:tr>
    <w:tr w:rsidR="00C2041E" w14:paraId="2E9163A7" w14:textId="77777777" w:rsidTr="00426322">
      <w:trPr>
        <w:trHeight w:val="454"/>
      </w:trPr>
      <w:tc>
        <w:tcPr>
          <w:tcW w:w="2361" w:type="dxa"/>
          <w:vMerge/>
          <w:tcBorders>
            <w:top w:val="single" w:sz="4" w:space="0" w:color="000000"/>
            <w:left w:val="single" w:sz="4" w:space="0" w:color="000000"/>
            <w:right w:val="single" w:sz="4" w:space="0" w:color="000000"/>
          </w:tcBorders>
          <w:vAlign w:val="center"/>
        </w:tcPr>
        <w:p w14:paraId="138E8CD6" w14:textId="77777777" w:rsidR="00C2041E" w:rsidRDefault="00C2041E" w:rsidP="00C2041E">
          <w:pPr>
            <w:widowControl w:val="0"/>
            <w:pBdr>
              <w:top w:val="nil"/>
              <w:left w:val="nil"/>
              <w:bottom w:val="nil"/>
              <w:right w:val="nil"/>
              <w:between w:val="nil"/>
            </w:pBdr>
            <w:spacing w:line="276" w:lineRule="auto"/>
            <w:rPr>
              <w:sz w:val="16"/>
              <w:szCs w:val="16"/>
            </w:rPr>
          </w:pPr>
        </w:p>
      </w:tc>
      <w:tc>
        <w:tcPr>
          <w:tcW w:w="4235" w:type="dxa"/>
          <w:vMerge/>
          <w:tcBorders>
            <w:top w:val="single" w:sz="4" w:space="0" w:color="000000"/>
            <w:left w:val="nil"/>
            <w:right w:val="single" w:sz="4" w:space="0" w:color="000000"/>
          </w:tcBorders>
          <w:vAlign w:val="center"/>
        </w:tcPr>
        <w:p w14:paraId="5EBDBA05" w14:textId="77777777" w:rsidR="00C2041E" w:rsidRDefault="00C2041E" w:rsidP="00C2041E">
          <w:pPr>
            <w:widowControl w:val="0"/>
            <w:pBdr>
              <w:top w:val="nil"/>
              <w:left w:val="nil"/>
              <w:bottom w:val="nil"/>
              <w:right w:val="nil"/>
              <w:between w:val="nil"/>
            </w:pBdr>
            <w:spacing w:line="276" w:lineRule="auto"/>
            <w:rPr>
              <w:sz w:val="16"/>
              <w:szCs w:val="16"/>
            </w:rPr>
          </w:pPr>
        </w:p>
      </w:tc>
      <w:tc>
        <w:tcPr>
          <w:tcW w:w="2234" w:type="dxa"/>
          <w:tcBorders>
            <w:top w:val="single" w:sz="4" w:space="0" w:color="000000"/>
            <w:left w:val="nil"/>
            <w:bottom w:val="single" w:sz="4" w:space="0" w:color="000000"/>
            <w:right w:val="single" w:sz="4" w:space="0" w:color="000000"/>
          </w:tcBorders>
          <w:vAlign w:val="center"/>
        </w:tcPr>
        <w:p w14:paraId="2F962836" w14:textId="77777777" w:rsidR="00C2041E" w:rsidRDefault="00C2041E" w:rsidP="00C2041E">
          <w:pPr>
            <w:rPr>
              <w:sz w:val="16"/>
              <w:szCs w:val="16"/>
            </w:rPr>
          </w:pPr>
          <w:r>
            <w:rPr>
              <w:sz w:val="16"/>
              <w:szCs w:val="16"/>
            </w:rPr>
            <w:t>FECHA: 14-Nov-2019</w:t>
          </w:r>
        </w:p>
      </w:tc>
    </w:tr>
  </w:tbl>
  <w:p w14:paraId="572B5061" w14:textId="77777777" w:rsidR="00C2041E" w:rsidRDefault="00C2041E">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213295"/>
    <w:multiLevelType w:val="multilevel"/>
    <w:tmpl w:val="897AA252"/>
    <w:lvl w:ilvl="0">
      <w:start w:val="1"/>
      <w:numFmt w:val="upperRoman"/>
      <w:lvlText w:val="%1."/>
      <w:lvlJc w:val="left"/>
      <w:pPr>
        <w:ind w:left="1080" w:hanging="72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3241DFD"/>
    <w:multiLevelType w:val="multilevel"/>
    <w:tmpl w:val="5F580F4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060F2821"/>
    <w:multiLevelType w:val="multilevel"/>
    <w:tmpl w:val="8B862C7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0BC82D98"/>
    <w:multiLevelType w:val="multilevel"/>
    <w:tmpl w:val="CF569FE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15:restartNumberingAfterBreak="0">
    <w:nsid w:val="34D34DC1"/>
    <w:multiLevelType w:val="multilevel"/>
    <w:tmpl w:val="63C2720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36D839E9"/>
    <w:multiLevelType w:val="multilevel"/>
    <w:tmpl w:val="A9F6B3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48010312"/>
    <w:multiLevelType w:val="multilevel"/>
    <w:tmpl w:val="FF20FFC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52D16B5F"/>
    <w:multiLevelType w:val="multilevel"/>
    <w:tmpl w:val="F2BCD8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56605862"/>
    <w:multiLevelType w:val="multilevel"/>
    <w:tmpl w:val="FD820FE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5F521EA8"/>
    <w:multiLevelType w:val="multilevel"/>
    <w:tmpl w:val="8460E8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6A6F62C7"/>
    <w:multiLevelType w:val="multilevel"/>
    <w:tmpl w:val="68F4BF9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6"/>
  </w:num>
  <w:num w:numId="3">
    <w:abstractNumId w:val="10"/>
  </w:num>
  <w:num w:numId="4">
    <w:abstractNumId w:val="5"/>
  </w:num>
  <w:num w:numId="5">
    <w:abstractNumId w:val="2"/>
  </w:num>
  <w:num w:numId="6">
    <w:abstractNumId w:val="8"/>
  </w:num>
  <w:num w:numId="7">
    <w:abstractNumId w:val="0"/>
  </w:num>
  <w:num w:numId="8">
    <w:abstractNumId w:val="9"/>
  </w:num>
  <w:num w:numId="9">
    <w:abstractNumId w:val="3"/>
  </w:num>
  <w:num w:numId="10">
    <w:abstractNumId w:val="4"/>
  </w:num>
  <w:num w:numId="1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defaultTabStop w:val="720"/>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928E4"/>
    <w:rsid w:val="002B7E98"/>
    <w:rsid w:val="00314586"/>
    <w:rsid w:val="00966F36"/>
    <w:rsid w:val="00C2041E"/>
    <w:rsid w:val="00C928E4"/>
    <w:rsid w:val="00F70104"/>
    <w:rsid w:val="00F71FB7"/>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75C9693F"/>
  <w15:docId w15:val="{45E1570E-0621-4DC9-A758-835E80BA82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4"/>
        <w:szCs w:val="24"/>
        <w:lang w:val="es-ES" w:eastAsia="es-CO"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77159"/>
    <w:rPr>
      <w:color w:val="000000"/>
    </w:rPr>
  </w:style>
  <w:style w:type="paragraph" w:styleId="Ttulo1">
    <w:name w:val="heading 1"/>
    <w:basedOn w:val="Normal"/>
    <w:next w:val="Normal"/>
    <w:link w:val="Ttulo1Car"/>
    <w:uiPriority w:val="9"/>
    <w:qFormat/>
    <w:rsid w:val="00AE7E3B"/>
    <w:pPr>
      <w:keepNext/>
      <w:jc w:val="center"/>
      <w:outlineLvl w:val="0"/>
    </w:pPr>
    <w:rPr>
      <w:rFonts w:ascii="Times New Roman" w:hAnsi="Times New Roman"/>
      <w:color w:val="auto"/>
      <w:lang w:val="es-MX"/>
    </w:rPr>
  </w:style>
  <w:style w:type="paragraph" w:styleId="Ttulo2">
    <w:name w:val="heading 2"/>
    <w:basedOn w:val="Normal"/>
    <w:next w:val="Normal"/>
    <w:link w:val="Ttulo2Car"/>
    <w:uiPriority w:val="9"/>
    <w:semiHidden/>
    <w:unhideWhenUsed/>
    <w:qFormat/>
    <w:rsid w:val="00AE7E3B"/>
    <w:pPr>
      <w:keepNext/>
      <w:outlineLvl w:val="1"/>
    </w:pPr>
    <w:rPr>
      <w:rFonts w:ascii="Times New Roman" w:hAnsi="Times New Roman"/>
      <w:color w:val="auto"/>
      <w:lang w:val="es-MX"/>
    </w:rPr>
  </w:style>
  <w:style w:type="paragraph" w:styleId="Ttulo3">
    <w:name w:val="heading 3"/>
    <w:basedOn w:val="Normal"/>
    <w:next w:val="Normal"/>
    <w:link w:val="Ttulo3Car"/>
    <w:uiPriority w:val="9"/>
    <w:semiHidden/>
    <w:unhideWhenUsed/>
    <w:qFormat/>
    <w:rsid w:val="00FB3FBA"/>
    <w:pPr>
      <w:keepNext/>
      <w:keepLines/>
      <w:spacing w:before="40"/>
      <w:outlineLvl w:val="2"/>
    </w:pPr>
    <w:rPr>
      <w:rFonts w:asciiTheme="majorHAnsi" w:eastAsiaTheme="majorEastAsia" w:hAnsiTheme="majorHAnsi" w:cstheme="majorBidi"/>
      <w:color w:val="243F60" w:themeColor="accent1" w:themeShade="7F"/>
    </w:rPr>
  </w:style>
  <w:style w:type="paragraph" w:styleId="Ttulo4">
    <w:name w:val="heading 4"/>
    <w:basedOn w:val="Normal"/>
    <w:next w:val="Normal"/>
    <w:link w:val="Ttulo4Car"/>
    <w:uiPriority w:val="9"/>
    <w:semiHidden/>
    <w:unhideWhenUsed/>
    <w:qFormat/>
    <w:rsid w:val="00BD4F10"/>
    <w:pPr>
      <w:keepNext/>
      <w:spacing w:before="240" w:after="60"/>
      <w:outlineLvl w:val="3"/>
    </w:pPr>
    <w:rPr>
      <w:rFonts w:ascii="Times New Roman" w:hAnsi="Times New Roman"/>
      <w:b/>
      <w:bCs/>
      <w:color w:val="auto"/>
      <w:sz w:val="28"/>
      <w:szCs w:val="28"/>
    </w:rPr>
  </w:style>
  <w:style w:type="paragraph" w:styleId="Ttulo5">
    <w:name w:val="heading 5"/>
    <w:basedOn w:val="Normal"/>
    <w:next w:val="Normal"/>
    <w:link w:val="Ttulo5Car"/>
    <w:uiPriority w:val="9"/>
    <w:semiHidden/>
    <w:unhideWhenUsed/>
    <w:qFormat/>
    <w:rsid w:val="00776D41"/>
    <w:pPr>
      <w:keepNext/>
      <w:keepLines/>
      <w:spacing w:before="200"/>
      <w:outlineLvl w:val="4"/>
    </w:pPr>
    <w:rPr>
      <w:rFonts w:ascii="Cambria" w:hAnsi="Cambria"/>
      <w:color w:val="243F60"/>
    </w:rPr>
  </w:style>
  <w:style w:type="paragraph" w:styleId="Ttulo6">
    <w:name w:val="heading 6"/>
    <w:basedOn w:val="Normal"/>
    <w:next w:val="Normal"/>
    <w:link w:val="Ttulo6Car"/>
    <w:uiPriority w:val="9"/>
    <w:semiHidden/>
    <w:unhideWhenUsed/>
    <w:qFormat/>
    <w:rsid w:val="00D609B2"/>
    <w:pPr>
      <w:keepNext/>
      <w:keepLines/>
      <w:spacing w:before="200" w:after="40" w:line="259" w:lineRule="auto"/>
      <w:outlineLvl w:val="5"/>
    </w:pPr>
    <w:rPr>
      <w:rFonts w:ascii="Calibri" w:eastAsia="Calibri" w:hAnsi="Calibri" w:cs="Calibri"/>
      <w:b/>
      <w:color w:val="auto"/>
      <w:sz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link w:val="TtuloCar"/>
    <w:uiPriority w:val="10"/>
    <w:qFormat/>
    <w:rsid w:val="00D609B2"/>
    <w:pPr>
      <w:keepNext/>
      <w:keepLines/>
      <w:spacing w:before="480" w:after="120" w:line="259" w:lineRule="auto"/>
    </w:pPr>
    <w:rPr>
      <w:rFonts w:ascii="Calibri" w:eastAsia="Calibri" w:hAnsi="Calibri" w:cs="Calibri"/>
      <w:b/>
      <w:color w:val="auto"/>
      <w:sz w:val="72"/>
      <w:szCs w:val="72"/>
      <w:lang w:eastAsia="en-US"/>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table" w:customStyle="1" w:styleId="TableNormal3">
    <w:name w:val="Table Normal"/>
    <w:tblPr>
      <w:tblCellMar>
        <w:top w:w="0" w:type="dxa"/>
        <w:left w:w="0" w:type="dxa"/>
        <w:bottom w:w="0" w:type="dxa"/>
        <w:right w:w="0" w:type="dxa"/>
      </w:tblCellMar>
    </w:tblPr>
  </w:style>
  <w:style w:type="table" w:customStyle="1" w:styleId="TableNormal4">
    <w:name w:val="Table Normal"/>
    <w:tblPr>
      <w:tblCellMar>
        <w:top w:w="0" w:type="dxa"/>
        <w:left w:w="0" w:type="dxa"/>
        <w:bottom w:w="0" w:type="dxa"/>
        <w:right w:w="0" w:type="dxa"/>
      </w:tblCellMar>
    </w:tblPr>
  </w:style>
  <w:style w:type="character" w:customStyle="1" w:styleId="Ttulo1Car">
    <w:name w:val="Título 1 Car"/>
    <w:basedOn w:val="Fuentedeprrafopredeter"/>
    <w:link w:val="Ttulo1"/>
    <w:uiPriority w:val="1"/>
    <w:locked/>
    <w:rsid w:val="0078358A"/>
    <w:rPr>
      <w:rFonts w:ascii="Cambria" w:hAnsi="Cambria" w:cs="Times New Roman"/>
      <w:b/>
      <w:bCs/>
      <w:color w:val="000000"/>
      <w:kern w:val="32"/>
      <w:sz w:val="32"/>
      <w:szCs w:val="32"/>
    </w:rPr>
  </w:style>
  <w:style w:type="character" w:customStyle="1" w:styleId="Ttulo2Car">
    <w:name w:val="Título 2 Car"/>
    <w:basedOn w:val="Fuentedeprrafopredeter"/>
    <w:link w:val="Ttulo2"/>
    <w:uiPriority w:val="1"/>
    <w:locked/>
    <w:rsid w:val="0078358A"/>
    <w:rPr>
      <w:rFonts w:ascii="Cambria" w:hAnsi="Cambria" w:cs="Times New Roman"/>
      <w:b/>
      <w:bCs/>
      <w:i/>
      <w:iCs/>
      <w:color w:val="000000"/>
      <w:sz w:val="28"/>
      <w:szCs w:val="28"/>
    </w:rPr>
  </w:style>
  <w:style w:type="character" w:customStyle="1" w:styleId="Ttulo4Car">
    <w:name w:val="Título 4 Car"/>
    <w:basedOn w:val="Fuentedeprrafopredeter"/>
    <w:link w:val="Ttulo4"/>
    <w:uiPriority w:val="99"/>
    <w:locked/>
    <w:rsid w:val="00BD4F10"/>
    <w:rPr>
      <w:rFonts w:cs="Times New Roman"/>
      <w:b/>
      <w:sz w:val="28"/>
      <w:lang w:val="es-ES" w:eastAsia="es-ES"/>
    </w:rPr>
  </w:style>
  <w:style w:type="character" w:customStyle="1" w:styleId="Ttulo5Car">
    <w:name w:val="Título 5 Car"/>
    <w:basedOn w:val="Fuentedeprrafopredeter"/>
    <w:link w:val="Ttulo5"/>
    <w:uiPriority w:val="99"/>
    <w:semiHidden/>
    <w:locked/>
    <w:rsid w:val="00776D41"/>
    <w:rPr>
      <w:rFonts w:ascii="Cambria" w:hAnsi="Cambria" w:cs="Times New Roman"/>
      <w:color w:val="243F60"/>
      <w:sz w:val="24"/>
      <w:lang w:val="es-ES" w:eastAsia="es-ES"/>
    </w:rPr>
  </w:style>
  <w:style w:type="paragraph" w:styleId="Encabezado">
    <w:name w:val="header"/>
    <w:basedOn w:val="Normal"/>
    <w:link w:val="EncabezadoCar"/>
    <w:uiPriority w:val="99"/>
    <w:rsid w:val="00AE7E3B"/>
    <w:pPr>
      <w:tabs>
        <w:tab w:val="center" w:pos="4252"/>
        <w:tab w:val="right" w:pos="8504"/>
      </w:tabs>
    </w:pPr>
  </w:style>
  <w:style w:type="character" w:customStyle="1" w:styleId="EncabezadoCar">
    <w:name w:val="Encabezado Car"/>
    <w:basedOn w:val="Fuentedeprrafopredeter"/>
    <w:link w:val="Encabezado"/>
    <w:uiPriority w:val="99"/>
    <w:locked/>
    <w:rsid w:val="0078358A"/>
    <w:rPr>
      <w:rFonts w:ascii="Arial" w:hAnsi="Arial" w:cs="Times New Roman"/>
      <w:color w:val="000000"/>
      <w:sz w:val="20"/>
      <w:szCs w:val="20"/>
    </w:rPr>
  </w:style>
  <w:style w:type="paragraph" w:styleId="Piedepgina">
    <w:name w:val="footer"/>
    <w:basedOn w:val="Normal"/>
    <w:link w:val="PiedepginaCar"/>
    <w:uiPriority w:val="99"/>
    <w:rsid w:val="00AE7E3B"/>
    <w:pPr>
      <w:tabs>
        <w:tab w:val="center" w:pos="4252"/>
        <w:tab w:val="right" w:pos="8504"/>
      </w:tabs>
    </w:pPr>
  </w:style>
  <w:style w:type="character" w:customStyle="1" w:styleId="PiedepginaCar">
    <w:name w:val="Pie de página Car"/>
    <w:basedOn w:val="Fuentedeprrafopredeter"/>
    <w:link w:val="Piedepgina"/>
    <w:uiPriority w:val="99"/>
    <w:locked/>
    <w:rsid w:val="0078358A"/>
    <w:rPr>
      <w:rFonts w:ascii="Arial" w:hAnsi="Arial" w:cs="Times New Roman"/>
      <w:color w:val="000000"/>
      <w:sz w:val="20"/>
      <w:szCs w:val="20"/>
    </w:rPr>
  </w:style>
  <w:style w:type="paragraph" w:styleId="Textoindependiente">
    <w:name w:val="Body Text"/>
    <w:basedOn w:val="Normal"/>
    <w:link w:val="TextoindependienteCar"/>
    <w:uiPriority w:val="1"/>
    <w:qFormat/>
    <w:rsid w:val="00AE7E3B"/>
    <w:pPr>
      <w:jc w:val="both"/>
    </w:pPr>
    <w:rPr>
      <w:rFonts w:ascii="Times New Roman" w:hAnsi="Times New Roman"/>
      <w:color w:val="auto"/>
      <w:lang w:val="es-MX"/>
    </w:rPr>
  </w:style>
  <w:style w:type="character" w:customStyle="1" w:styleId="TextoindependienteCar">
    <w:name w:val="Texto independiente Car"/>
    <w:basedOn w:val="Fuentedeprrafopredeter"/>
    <w:link w:val="Textoindependiente"/>
    <w:uiPriority w:val="1"/>
    <w:locked/>
    <w:rsid w:val="0078358A"/>
    <w:rPr>
      <w:rFonts w:ascii="Arial" w:hAnsi="Arial" w:cs="Times New Roman"/>
      <w:color w:val="000000"/>
      <w:sz w:val="20"/>
      <w:szCs w:val="20"/>
    </w:rPr>
  </w:style>
  <w:style w:type="character" w:styleId="Refdecomentario">
    <w:name w:val="annotation reference"/>
    <w:basedOn w:val="Fuentedeprrafopredeter"/>
    <w:uiPriority w:val="99"/>
    <w:semiHidden/>
    <w:rsid w:val="00AE7E3B"/>
    <w:rPr>
      <w:rFonts w:cs="Times New Roman"/>
      <w:sz w:val="16"/>
    </w:rPr>
  </w:style>
  <w:style w:type="paragraph" w:styleId="Textocomentario">
    <w:name w:val="annotation text"/>
    <w:basedOn w:val="Normal"/>
    <w:link w:val="TextocomentarioCar"/>
    <w:uiPriority w:val="99"/>
    <w:rsid w:val="00AE7E3B"/>
    <w:rPr>
      <w:sz w:val="20"/>
    </w:rPr>
  </w:style>
  <w:style w:type="character" w:customStyle="1" w:styleId="TextocomentarioCar">
    <w:name w:val="Texto comentario Car"/>
    <w:basedOn w:val="Fuentedeprrafopredeter"/>
    <w:link w:val="Textocomentario"/>
    <w:uiPriority w:val="99"/>
    <w:locked/>
    <w:rsid w:val="0078358A"/>
    <w:rPr>
      <w:rFonts w:ascii="Arial" w:hAnsi="Arial" w:cs="Times New Roman"/>
      <w:color w:val="000000"/>
      <w:sz w:val="20"/>
      <w:szCs w:val="20"/>
    </w:rPr>
  </w:style>
  <w:style w:type="table" w:styleId="Tablaconcuadrcula">
    <w:name w:val="Table Grid"/>
    <w:basedOn w:val="Tablanormal"/>
    <w:uiPriority w:val="99"/>
    <w:rsid w:val="00C52D3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rsid w:val="000844A8"/>
    <w:rPr>
      <w:rFonts w:cs="Times New Roman"/>
      <w:color w:val="0000FF"/>
      <w:u w:val="single"/>
    </w:rPr>
  </w:style>
  <w:style w:type="character" w:styleId="Nmerodepgina">
    <w:name w:val="page number"/>
    <w:basedOn w:val="Fuentedeprrafopredeter"/>
    <w:uiPriority w:val="99"/>
    <w:rsid w:val="00AD4793"/>
    <w:rPr>
      <w:rFonts w:cs="Times New Roman"/>
    </w:rPr>
  </w:style>
  <w:style w:type="paragraph" w:styleId="Textoindependiente2">
    <w:name w:val="Body Text 2"/>
    <w:basedOn w:val="Normal"/>
    <w:link w:val="Textoindependiente2Car"/>
    <w:uiPriority w:val="99"/>
    <w:rsid w:val="007B133B"/>
    <w:pPr>
      <w:spacing w:after="120" w:line="480" w:lineRule="auto"/>
    </w:pPr>
    <w:rPr>
      <w:rFonts w:ascii="Times New Roman" w:hAnsi="Times New Roman"/>
      <w:color w:val="auto"/>
    </w:rPr>
  </w:style>
  <w:style w:type="character" w:customStyle="1" w:styleId="Textoindependiente2Car">
    <w:name w:val="Texto independiente 2 Car"/>
    <w:basedOn w:val="Fuentedeprrafopredeter"/>
    <w:link w:val="Textoindependiente2"/>
    <w:uiPriority w:val="99"/>
    <w:semiHidden/>
    <w:locked/>
    <w:rsid w:val="0078358A"/>
    <w:rPr>
      <w:rFonts w:ascii="Arial" w:hAnsi="Arial" w:cs="Times New Roman"/>
      <w:color w:val="000000"/>
      <w:sz w:val="20"/>
      <w:szCs w:val="20"/>
    </w:rPr>
  </w:style>
  <w:style w:type="paragraph" w:styleId="Textoindependiente3">
    <w:name w:val="Body Text 3"/>
    <w:basedOn w:val="Normal"/>
    <w:link w:val="Textoindependiente3Car"/>
    <w:uiPriority w:val="99"/>
    <w:rsid w:val="00840C8F"/>
    <w:pPr>
      <w:spacing w:after="120"/>
    </w:pPr>
    <w:rPr>
      <w:sz w:val="16"/>
      <w:szCs w:val="16"/>
    </w:rPr>
  </w:style>
  <w:style w:type="character" w:customStyle="1" w:styleId="Textoindependiente3Car">
    <w:name w:val="Texto independiente 3 Car"/>
    <w:basedOn w:val="Fuentedeprrafopredeter"/>
    <w:link w:val="Textoindependiente3"/>
    <w:uiPriority w:val="99"/>
    <w:semiHidden/>
    <w:locked/>
    <w:rsid w:val="0078358A"/>
    <w:rPr>
      <w:rFonts w:ascii="Arial" w:hAnsi="Arial" w:cs="Times New Roman"/>
      <w:color w:val="000000"/>
      <w:sz w:val="16"/>
      <w:szCs w:val="16"/>
    </w:rPr>
  </w:style>
  <w:style w:type="paragraph" w:styleId="Textodeglobo">
    <w:name w:val="Balloon Text"/>
    <w:basedOn w:val="Normal"/>
    <w:link w:val="TextodegloboCar"/>
    <w:uiPriority w:val="99"/>
    <w:semiHidden/>
    <w:rsid w:val="00DD7435"/>
    <w:rPr>
      <w:rFonts w:ascii="Tahoma" w:hAnsi="Tahoma" w:cs="Tahoma"/>
      <w:sz w:val="16"/>
      <w:szCs w:val="16"/>
    </w:rPr>
  </w:style>
  <w:style w:type="character" w:customStyle="1" w:styleId="TextodegloboCar">
    <w:name w:val="Texto de globo Car"/>
    <w:basedOn w:val="Fuentedeprrafopredeter"/>
    <w:link w:val="Textodeglobo"/>
    <w:uiPriority w:val="99"/>
    <w:semiHidden/>
    <w:locked/>
    <w:rsid w:val="0078358A"/>
    <w:rPr>
      <w:rFonts w:cs="Times New Roman"/>
      <w:color w:val="000000"/>
      <w:sz w:val="2"/>
    </w:rPr>
  </w:style>
  <w:style w:type="paragraph" w:styleId="Prrafodelista">
    <w:name w:val="List Paragraph"/>
    <w:aliases w:val="List1,LISTA,Párrafo de lista2,Ha,Resume Title,Bullet List,FooterText,numbered,List Paragraph1,Paragraphe de liste1,lp1,HOJA,Colorful List Accent 1,Colorful List - Accent 11,titulo 3,Colorful List - Accent 111,Bullets"/>
    <w:basedOn w:val="Normal"/>
    <w:link w:val="PrrafodelistaCar"/>
    <w:uiPriority w:val="34"/>
    <w:qFormat/>
    <w:rsid w:val="005C3311"/>
    <w:pPr>
      <w:ind w:left="708"/>
    </w:pPr>
  </w:style>
  <w:style w:type="paragraph" w:customStyle="1" w:styleId="Table">
    <w:name w:val="Table"/>
    <w:basedOn w:val="Normal"/>
    <w:autoRedefine/>
    <w:uiPriority w:val="99"/>
    <w:rsid w:val="006F04EF"/>
    <w:pPr>
      <w:spacing w:before="40" w:after="40"/>
      <w:ind w:left="4" w:hanging="4"/>
    </w:pPr>
    <w:rPr>
      <w:b/>
      <w:sz w:val="20"/>
      <w:lang w:val="en-GB" w:eastAsia="en-US"/>
    </w:rPr>
  </w:style>
  <w:style w:type="paragraph" w:styleId="Textonotapie">
    <w:name w:val="footnote text"/>
    <w:basedOn w:val="Normal"/>
    <w:link w:val="TextonotapieCar"/>
    <w:uiPriority w:val="99"/>
    <w:semiHidden/>
    <w:unhideWhenUsed/>
    <w:rsid w:val="00BE5306"/>
    <w:rPr>
      <w:sz w:val="20"/>
    </w:rPr>
  </w:style>
  <w:style w:type="character" w:customStyle="1" w:styleId="TextonotapieCar">
    <w:name w:val="Texto nota pie Car"/>
    <w:basedOn w:val="Fuentedeprrafopredeter"/>
    <w:link w:val="Textonotapie"/>
    <w:uiPriority w:val="99"/>
    <w:semiHidden/>
    <w:rsid w:val="00BE5306"/>
    <w:rPr>
      <w:rFonts w:ascii="Arial" w:hAnsi="Arial"/>
      <w:color w:val="000000"/>
    </w:rPr>
  </w:style>
  <w:style w:type="character" w:styleId="Refdenotaalpie">
    <w:name w:val="footnote reference"/>
    <w:basedOn w:val="Fuentedeprrafopredeter"/>
    <w:uiPriority w:val="99"/>
    <w:semiHidden/>
    <w:unhideWhenUsed/>
    <w:rsid w:val="00BE5306"/>
    <w:rPr>
      <w:vertAlign w:val="superscript"/>
    </w:rPr>
  </w:style>
  <w:style w:type="paragraph" w:styleId="Asuntodelcomentario">
    <w:name w:val="annotation subject"/>
    <w:basedOn w:val="Textocomentario"/>
    <w:next w:val="Textocomentario"/>
    <w:link w:val="AsuntodelcomentarioCar"/>
    <w:uiPriority w:val="99"/>
    <w:semiHidden/>
    <w:unhideWhenUsed/>
    <w:rsid w:val="00772006"/>
    <w:pPr>
      <w:spacing w:after="160"/>
    </w:pPr>
    <w:rPr>
      <w:rFonts w:asciiTheme="minorHAnsi" w:eastAsiaTheme="minorHAnsi" w:hAnsiTheme="minorHAnsi" w:cstheme="minorBidi"/>
      <w:b/>
      <w:bCs/>
      <w:color w:val="auto"/>
      <w:lang w:val="es-CO" w:eastAsia="en-US"/>
    </w:rPr>
  </w:style>
  <w:style w:type="character" w:customStyle="1" w:styleId="AsuntodelcomentarioCar">
    <w:name w:val="Asunto del comentario Car"/>
    <w:basedOn w:val="TextocomentarioCar"/>
    <w:link w:val="Asuntodelcomentario"/>
    <w:uiPriority w:val="99"/>
    <w:semiHidden/>
    <w:rsid w:val="00772006"/>
    <w:rPr>
      <w:rFonts w:asciiTheme="minorHAnsi" w:eastAsiaTheme="minorHAnsi" w:hAnsiTheme="minorHAnsi" w:cstheme="minorBidi"/>
      <w:b/>
      <w:bCs/>
      <w:color w:val="000000"/>
      <w:sz w:val="20"/>
      <w:szCs w:val="20"/>
      <w:lang w:val="es-CO" w:eastAsia="en-US"/>
    </w:rPr>
  </w:style>
  <w:style w:type="paragraph" w:styleId="Descripcin">
    <w:name w:val="caption"/>
    <w:basedOn w:val="Normal"/>
    <w:next w:val="Normal"/>
    <w:uiPriority w:val="35"/>
    <w:unhideWhenUsed/>
    <w:qFormat/>
    <w:locked/>
    <w:rsid w:val="00772006"/>
    <w:pPr>
      <w:spacing w:after="200"/>
    </w:pPr>
    <w:rPr>
      <w:rFonts w:asciiTheme="minorHAnsi" w:eastAsiaTheme="minorHAnsi" w:hAnsiTheme="minorHAnsi" w:cstheme="minorBidi"/>
      <w:i/>
      <w:iCs/>
      <w:color w:val="1F497D" w:themeColor="text2"/>
      <w:sz w:val="18"/>
      <w:szCs w:val="18"/>
      <w:lang w:val="es-CO" w:eastAsia="en-US"/>
    </w:rPr>
  </w:style>
  <w:style w:type="paragraph" w:styleId="Sinespaciado">
    <w:name w:val="No Spacing"/>
    <w:uiPriority w:val="1"/>
    <w:qFormat/>
    <w:rsid w:val="004C3CE2"/>
    <w:rPr>
      <w:color w:val="000000"/>
    </w:rPr>
  </w:style>
  <w:style w:type="character" w:styleId="Hipervnculovisitado">
    <w:name w:val="FollowedHyperlink"/>
    <w:basedOn w:val="Fuentedeprrafopredeter"/>
    <w:uiPriority w:val="99"/>
    <w:semiHidden/>
    <w:unhideWhenUsed/>
    <w:rsid w:val="00224085"/>
    <w:rPr>
      <w:color w:val="800080" w:themeColor="followedHyperlink"/>
      <w:u w:val="single"/>
    </w:rPr>
  </w:style>
  <w:style w:type="paragraph" w:styleId="NormalWeb">
    <w:name w:val="Normal (Web)"/>
    <w:basedOn w:val="Normal"/>
    <w:link w:val="NormalWebCar"/>
    <w:uiPriority w:val="99"/>
    <w:rsid w:val="00DB2C0C"/>
    <w:pPr>
      <w:spacing w:before="100" w:beforeAutospacing="1" w:after="100" w:afterAutospacing="1"/>
    </w:pPr>
    <w:rPr>
      <w:rFonts w:ascii="Times New Roman" w:hAnsi="Times New Roman"/>
      <w:color w:val="auto"/>
    </w:rPr>
  </w:style>
  <w:style w:type="character" w:customStyle="1" w:styleId="NormalWebCar">
    <w:name w:val="Normal (Web) Car"/>
    <w:link w:val="NormalWeb"/>
    <w:uiPriority w:val="99"/>
    <w:locked/>
    <w:rsid w:val="00DB2C0C"/>
    <w:rPr>
      <w:sz w:val="24"/>
      <w:szCs w:val="24"/>
    </w:rPr>
  </w:style>
  <w:style w:type="paragraph" w:customStyle="1" w:styleId="centrado">
    <w:name w:val="centrado"/>
    <w:basedOn w:val="Normal"/>
    <w:rsid w:val="000349D5"/>
    <w:pPr>
      <w:spacing w:before="100" w:beforeAutospacing="1" w:after="100" w:afterAutospacing="1"/>
    </w:pPr>
    <w:rPr>
      <w:rFonts w:ascii="Times New Roman" w:hAnsi="Times New Roman"/>
      <w:color w:val="auto"/>
      <w:lang w:val="es-CO"/>
    </w:rPr>
  </w:style>
  <w:style w:type="character" w:customStyle="1" w:styleId="baj">
    <w:name w:val="b_aj"/>
    <w:basedOn w:val="Fuentedeprrafopredeter"/>
    <w:rsid w:val="000349D5"/>
  </w:style>
  <w:style w:type="character" w:styleId="Textoennegrita">
    <w:name w:val="Strong"/>
    <w:basedOn w:val="Fuentedeprrafopredeter"/>
    <w:uiPriority w:val="22"/>
    <w:qFormat/>
    <w:locked/>
    <w:rsid w:val="00A44F02"/>
    <w:rPr>
      <w:b/>
      <w:bCs/>
    </w:rPr>
  </w:style>
  <w:style w:type="character" w:styleId="nfasis">
    <w:name w:val="Emphasis"/>
    <w:basedOn w:val="Fuentedeprrafopredeter"/>
    <w:uiPriority w:val="20"/>
    <w:qFormat/>
    <w:locked/>
    <w:rsid w:val="000622B0"/>
    <w:rPr>
      <w:i/>
      <w:iCs/>
    </w:rPr>
  </w:style>
  <w:style w:type="character" w:customStyle="1" w:styleId="Ttulo3Car">
    <w:name w:val="Título 3 Car"/>
    <w:basedOn w:val="Fuentedeprrafopredeter"/>
    <w:link w:val="Ttulo3"/>
    <w:semiHidden/>
    <w:rsid w:val="00FB3FBA"/>
    <w:rPr>
      <w:rFonts w:asciiTheme="majorHAnsi" w:eastAsiaTheme="majorEastAsia" w:hAnsiTheme="majorHAnsi" w:cstheme="majorBidi"/>
      <w:color w:val="243F60" w:themeColor="accent1" w:themeShade="7F"/>
      <w:sz w:val="24"/>
      <w:szCs w:val="24"/>
    </w:rPr>
  </w:style>
  <w:style w:type="paragraph" w:customStyle="1" w:styleId="bordeespecial">
    <w:name w:val="borde_especial"/>
    <w:basedOn w:val="Normal"/>
    <w:rsid w:val="00734EE3"/>
    <w:pPr>
      <w:spacing w:before="100" w:beforeAutospacing="1" w:after="100" w:afterAutospacing="1"/>
    </w:pPr>
    <w:rPr>
      <w:rFonts w:ascii="Times New Roman" w:hAnsi="Times New Roman"/>
      <w:color w:val="auto"/>
      <w:lang w:val="es-CO"/>
    </w:rPr>
  </w:style>
  <w:style w:type="character" w:customStyle="1" w:styleId="PrrafodelistaCar">
    <w:name w:val="Párrafo de lista Car"/>
    <w:aliases w:val="List1 Car,LISTA Car,Párrafo de lista2 Car,Ha Car,Resume Title Car,Bullet List Car,FooterText Car,numbered Car,List Paragraph1 Car,Paragraphe de liste1 Car,lp1 Car,HOJA Car,Colorful List Accent 1 Car,Colorful List - Accent 11 Car"/>
    <w:link w:val="Prrafodelista"/>
    <w:uiPriority w:val="34"/>
    <w:qFormat/>
    <w:rsid w:val="009F79A9"/>
    <w:rPr>
      <w:rFonts w:ascii="Arial" w:hAnsi="Arial"/>
      <w:color w:val="000000"/>
      <w:sz w:val="24"/>
    </w:rPr>
  </w:style>
  <w:style w:type="paragraph" w:customStyle="1" w:styleId="Sinespaciado1">
    <w:name w:val="Sin espaciado1"/>
    <w:uiPriority w:val="99"/>
    <w:qFormat/>
    <w:rsid w:val="009F79A9"/>
    <w:rPr>
      <w:rFonts w:ascii="Calibri" w:eastAsia="Calibri" w:hAnsi="Calibri" w:cs="Calibri"/>
      <w:sz w:val="22"/>
      <w:szCs w:val="22"/>
      <w:lang w:eastAsia="en-US"/>
    </w:rPr>
  </w:style>
  <w:style w:type="paragraph" w:customStyle="1" w:styleId="Default">
    <w:name w:val="Default"/>
    <w:rsid w:val="001B582E"/>
    <w:pPr>
      <w:autoSpaceDE w:val="0"/>
      <w:autoSpaceDN w:val="0"/>
      <w:adjustRightInd w:val="0"/>
    </w:pPr>
    <w:rPr>
      <w:color w:val="000000"/>
      <w:lang w:val="es-CO"/>
    </w:rPr>
  </w:style>
  <w:style w:type="character" w:customStyle="1" w:styleId="emphasized">
    <w:name w:val="emphasized"/>
    <w:basedOn w:val="Fuentedeprrafopredeter"/>
    <w:rsid w:val="00EA2F97"/>
  </w:style>
  <w:style w:type="character" w:customStyle="1" w:styleId="n">
    <w:name w:val="n"/>
    <w:basedOn w:val="Fuentedeprrafopredeter"/>
    <w:rsid w:val="00870120"/>
  </w:style>
  <w:style w:type="character" w:customStyle="1" w:styleId="Mencinsinresolver1">
    <w:name w:val="Mención sin resolver1"/>
    <w:basedOn w:val="Fuentedeprrafopredeter"/>
    <w:uiPriority w:val="99"/>
    <w:semiHidden/>
    <w:unhideWhenUsed/>
    <w:rsid w:val="00AA114F"/>
    <w:rPr>
      <w:color w:val="605E5C"/>
      <w:shd w:val="clear" w:color="auto" w:fill="E1DFDD"/>
    </w:rPr>
  </w:style>
  <w:style w:type="character" w:customStyle="1" w:styleId="Ttulo6Car">
    <w:name w:val="Título 6 Car"/>
    <w:basedOn w:val="Fuentedeprrafopredeter"/>
    <w:link w:val="Ttulo6"/>
    <w:rsid w:val="00D609B2"/>
    <w:rPr>
      <w:rFonts w:ascii="Calibri" w:eastAsia="Calibri" w:hAnsi="Calibri" w:cs="Calibri"/>
      <w:b/>
      <w:lang w:eastAsia="en-US"/>
    </w:rPr>
  </w:style>
  <w:style w:type="table" w:customStyle="1" w:styleId="TableNormal10">
    <w:name w:val="Table Normal1"/>
    <w:rsid w:val="00D609B2"/>
    <w:pPr>
      <w:spacing w:after="160" w:line="259" w:lineRule="auto"/>
    </w:pPr>
    <w:rPr>
      <w:rFonts w:ascii="Calibri" w:eastAsia="Calibri" w:hAnsi="Calibri" w:cs="Calibri"/>
      <w:sz w:val="22"/>
      <w:szCs w:val="22"/>
      <w:lang w:eastAsia="en-US"/>
    </w:rPr>
    <w:tblPr>
      <w:tblCellMar>
        <w:top w:w="0" w:type="dxa"/>
        <w:left w:w="0" w:type="dxa"/>
        <w:bottom w:w="0" w:type="dxa"/>
        <w:right w:w="0" w:type="dxa"/>
      </w:tblCellMar>
    </w:tblPr>
  </w:style>
  <w:style w:type="character" w:customStyle="1" w:styleId="TtuloCar">
    <w:name w:val="Título Car"/>
    <w:basedOn w:val="Fuentedeprrafopredeter"/>
    <w:link w:val="Ttulo"/>
    <w:uiPriority w:val="1"/>
    <w:rsid w:val="00D609B2"/>
    <w:rPr>
      <w:rFonts w:ascii="Calibri" w:eastAsia="Calibri" w:hAnsi="Calibri" w:cs="Calibri"/>
      <w:b/>
      <w:sz w:val="72"/>
      <w:szCs w:val="72"/>
      <w:lang w:eastAsia="en-US"/>
    </w:rPr>
  </w:style>
  <w:style w:type="paragraph" w:customStyle="1" w:styleId="paragraph">
    <w:name w:val="paragraph"/>
    <w:basedOn w:val="Normal"/>
    <w:rsid w:val="00D609B2"/>
    <w:pPr>
      <w:spacing w:before="100" w:beforeAutospacing="1" w:after="100" w:afterAutospacing="1"/>
    </w:pPr>
    <w:rPr>
      <w:rFonts w:ascii="Times New Roman" w:hAnsi="Times New Roman"/>
      <w:color w:val="auto"/>
      <w:lang w:eastAsia="en-US"/>
    </w:rPr>
  </w:style>
  <w:style w:type="character" w:customStyle="1" w:styleId="normaltextrun">
    <w:name w:val="normaltextrun"/>
    <w:basedOn w:val="Fuentedeprrafopredeter"/>
    <w:rsid w:val="00D609B2"/>
  </w:style>
  <w:style w:type="character" w:customStyle="1" w:styleId="eop">
    <w:name w:val="eop"/>
    <w:basedOn w:val="Fuentedeprrafopredeter"/>
    <w:rsid w:val="00D609B2"/>
  </w:style>
  <w:style w:type="character" w:customStyle="1" w:styleId="tabchar">
    <w:name w:val="tabchar"/>
    <w:basedOn w:val="Fuentedeprrafopredeter"/>
    <w:rsid w:val="00D609B2"/>
  </w:style>
  <w:style w:type="paragraph" w:styleId="Revisin">
    <w:name w:val="Revision"/>
    <w:hidden/>
    <w:uiPriority w:val="99"/>
    <w:semiHidden/>
    <w:rsid w:val="00D609B2"/>
    <w:rPr>
      <w:rFonts w:ascii="Calibri" w:eastAsia="Calibri" w:hAnsi="Calibri" w:cs="Calibri"/>
      <w:sz w:val="22"/>
      <w:szCs w:val="22"/>
      <w:lang w:eastAsia="en-US"/>
    </w:rPr>
  </w:style>
  <w:style w:type="paragraph" w:styleId="Subttulo">
    <w:name w:val="Subtitle"/>
    <w:basedOn w:val="Normal"/>
    <w:next w:val="Normal"/>
    <w:link w:val="SubttuloCar"/>
    <w:uiPriority w:val="11"/>
    <w:qFormat/>
    <w:pPr>
      <w:keepNext/>
      <w:keepLines/>
      <w:spacing w:before="360" w:after="80" w:line="259" w:lineRule="auto"/>
    </w:pPr>
    <w:rPr>
      <w:rFonts w:ascii="Georgia" w:eastAsia="Georgia" w:hAnsi="Georgia" w:cs="Georgia"/>
      <w:i/>
      <w:color w:val="666666"/>
      <w:sz w:val="48"/>
      <w:szCs w:val="48"/>
    </w:rPr>
  </w:style>
  <w:style w:type="character" w:customStyle="1" w:styleId="SubttuloCar">
    <w:name w:val="Subtítulo Car"/>
    <w:basedOn w:val="Fuentedeprrafopredeter"/>
    <w:link w:val="Subttulo"/>
    <w:rsid w:val="00D609B2"/>
    <w:rPr>
      <w:rFonts w:ascii="Georgia" w:eastAsia="Georgia" w:hAnsi="Georgia" w:cs="Georgia"/>
      <w:i/>
      <w:color w:val="666666"/>
      <w:sz w:val="48"/>
      <w:szCs w:val="48"/>
      <w:lang w:eastAsia="en-US"/>
    </w:rPr>
  </w:style>
  <w:style w:type="paragraph" w:styleId="TDC1">
    <w:name w:val="toc 1"/>
    <w:basedOn w:val="Normal"/>
    <w:uiPriority w:val="1"/>
    <w:qFormat/>
    <w:locked/>
    <w:rsid w:val="00D609B2"/>
    <w:pPr>
      <w:widowControl w:val="0"/>
      <w:autoSpaceDE w:val="0"/>
      <w:autoSpaceDN w:val="0"/>
      <w:spacing w:before="49"/>
      <w:ind w:left="142"/>
    </w:pPr>
    <w:rPr>
      <w:rFonts w:ascii="Candara" w:eastAsia="Candara" w:hAnsi="Candara" w:cs="Candara"/>
      <w:color w:val="auto"/>
      <w:sz w:val="22"/>
      <w:szCs w:val="22"/>
      <w:lang w:eastAsia="en-US"/>
    </w:rPr>
  </w:style>
  <w:style w:type="paragraph" w:styleId="TDC2">
    <w:name w:val="toc 2"/>
    <w:basedOn w:val="Normal"/>
    <w:uiPriority w:val="1"/>
    <w:qFormat/>
    <w:locked/>
    <w:rsid w:val="00D609B2"/>
    <w:pPr>
      <w:widowControl w:val="0"/>
      <w:autoSpaceDE w:val="0"/>
      <w:autoSpaceDN w:val="0"/>
      <w:spacing w:before="140"/>
      <w:ind w:left="362"/>
    </w:pPr>
    <w:rPr>
      <w:rFonts w:ascii="Candara" w:eastAsia="Candara" w:hAnsi="Candara" w:cs="Candara"/>
      <w:color w:val="auto"/>
      <w:sz w:val="22"/>
      <w:szCs w:val="22"/>
      <w:lang w:eastAsia="en-US"/>
    </w:rPr>
  </w:style>
  <w:style w:type="paragraph" w:styleId="TDC3">
    <w:name w:val="toc 3"/>
    <w:basedOn w:val="Normal"/>
    <w:uiPriority w:val="1"/>
    <w:qFormat/>
    <w:locked/>
    <w:rsid w:val="00D609B2"/>
    <w:pPr>
      <w:widowControl w:val="0"/>
      <w:autoSpaceDE w:val="0"/>
      <w:autoSpaceDN w:val="0"/>
      <w:spacing w:before="139"/>
      <w:ind w:left="1022" w:hanging="442"/>
    </w:pPr>
    <w:rPr>
      <w:rFonts w:ascii="Candara" w:eastAsia="Candara" w:hAnsi="Candara" w:cs="Candara"/>
      <w:color w:val="auto"/>
      <w:sz w:val="22"/>
      <w:szCs w:val="22"/>
      <w:lang w:eastAsia="en-US"/>
    </w:rPr>
  </w:style>
  <w:style w:type="paragraph" w:customStyle="1" w:styleId="TableParagraph">
    <w:name w:val="Table Paragraph"/>
    <w:basedOn w:val="Normal"/>
    <w:uiPriority w:val="1"/>
    <w:qFormat/>
    <w:rsid w:val="00D609B2"/>
    <w:pPr>
      <w:widowControl w:val="0"/>
      <w:autoSpaceDE w:val="0"/>
      <w:autoSpaceDN w:val="0"/>
      <w:ind w:left="107"/>
    </w:pPr>
    <w:rPr>
      <w:rFonts w:ascii="Candara" w:eastAsia="Candara" w:hAnsi="Candara" w:cs="Candara"/>
      <w:color w:val="auto"/>
      <w:sz w:val="22"/>
      <w:szCs w:val="22"/>
      <w:lang w:eastAsia="en-US"/>
    </w:rPr>
  </w:style>
  <w:style w:type="character" w:customStyle="1" w:styleId="Mencinsinresolver2">
    <w:name w:val="Mención sin resolver2"/>
    <w:basedOn w:val="Fuentedeprrafopredeter"/>
    <w:uiPriority w:val="99"/>
    <w:semiHidden/>
    <w:unhideWhenUsed/>
    <w:rsid w:val="0093132A"/>
    <w:rPr>
      <w:color w:val="605E5C"/>
      <w:shd w:val="clear" w:color="auto" w:fill="E1DFDD"/>
    </w:rPr>
  </w:style>
  <w:style w:type="character" w:customStyle="1" w:styleId="apple-converted-space">
    <w:name w:val="apple-converted-space"/>
    <w:basedOn w:val="Fuentedeprrafopredeter"/>
    <w:rsid w:val="0027619F"/>
  </w:style>
  <w:style w:type="table" w:customStyle="1" w:styleId="a">
    <w:basedOn w:val="TableNormal4"/>
    <w:tblPr>
      <w:tblStyleRowBandSize w:val="1"/>
      <w:tblStyleColBandSize w:val="1"/>
      <w:tblCellMar>
        <w:left w:w="70" w:type="dxa"/>
        <w:right w:w="70" w:type="dxa"/>
      </w:tblCellMar>
    </w:tblPr>
  </w:style>
  <w:style w:type="table" w:customStyle="1" w:styleId="a0">
    <w:basedOn w:val="TableNormal4"/>
    <w:tblPr>
      <w:tblStyleRowBandSize w:val="1"/>
      <w:tblStyleColBandSize w:val="1"/>
      <w:tblCellMar>
        <w:left w:w="70" w:type="dxa"/>
        <w:right w:w="70" w:type="dxa"/>
      </w:tblCellMar>
    </w:tblPr>
  </w:style>
  <w:style w:type="table" w:customStyle="1" w:styleId="a1">
    <w:basedOn w:val="TableNormal4"/>
    <w:tblPr>
      <w:tblStyleRowBandSize w:val="1"/>
      <w:tblStyleColBandSize w:val="1"/>
      <w:tblCellMar>
        <w:left w:w="70" w:type="dxa"/>
        <w:right w:w="70" w:type="dxa"/>
      </w:tblCellMar>
    </w:tblPr>
  </w:style>
  <w:style w:type="table" w:customStyle="1" w:styleId="a2">
    <w:basedOn w:val="TableNormal4"/>
    <w:tblPr>
      <w:tblStyleRowBandSize w:val="1"/>
      <w:tblStyleColBandSize w:val="1"/>
      <w:tblCellMar>
        <w:left w:w="70" w:type="dxa"/>
        <w:right w:w="70" w:type="dxa"/>
      </w:tblCellMar>
    </w:tblPr>
  </w:style>
  <w:style w:type="table" w:customStyle="1" w:styleId="a3">
    <w:basedOn w:val="TableNormal4"/>
    <w:tblPr>
      <w:tblStyleRowBandSize w:val="1"/>
      <w:tblStyleColBandSize w:val="1"/>
      <w:tblCellMar>
        <w:left w:w="70" w:type="dxa"/>
        <w:right w:w="70" w:type="dxa"/>
      </w:tblCellMar>
    </w:tblPr>
  </w:style>
  <w:style w:type="table" w:customStyle="1" w:styleId="a4">
    <w:basedOn w:val="TableNormal4"/>
    <w:tblPr>
      <w:tblStyleRowBandSize w:val="1"/>
      <w:tblStyleColBandSize w:val="1"/>
      <w:tblCellMar>
        <w:top w:w="100" w:type="dxa"/>
        <w:left w:w="100" w:type="dxa"/>
        <w:bottom w:w="100" w:type="dxa"/>
        <w:right w:w="100" w:type="dxa"/>
      </w:tblCellMar>
    </w:tblPr>
  </w:style>
  <w:style w:type="table" w:customStyle="1" w:styleId="a5">
    <w:basedOn w:val="TableNormal4"/>
    <w:tblPr>
      <w:tblStyleRowBandSize w:val="1"/>
      <w:tblStyleColBandSize w:val="1"/>
      <w:tblCellMar>
        <w:left w:w="70" w:type="dxa"/>
        <w:right w:w="7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notes.xml.rels><?xml version="1.0" encoding="UTF-8" standalone="yes"?>
<Relationships xmlns="http://schemas.openxmlformats.org/package/2006/relationships"><Relationship Id="rId3" Type="http://schemas.openxmlformats.org/officeDocument/2006/relationships/hyperlink" Target="https://www.mincit.gov.co/servicio-al-ciudadano/preguntas-frecuentes/mipymes" TargetMode="External"/><Relationship Id="rId2" Type="http://schemas.openxmlformats.org/officeDocument/2006/relationships/hyperlink" Target="https://www.sdp.gov.co/sites/default/files/informalidad_empresarial_bogota_2015_0.pdf" TargetMode="External"/><Relationship Id="rId1" Type="http://schemas.openxmlformats.org/officeDocument/2006/relationships/hyperlink" Target="https://observatorio.desarrolloeconomico.gov.co/temas/dinamica-empresarial/informe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nHYQ/gU5wnG18uctiX22GtlN30A==">CgMxLjA4AHIhMWFjQ1g3QlR4U1NCVUF3Ni13RTVnbGNjbWM2YzlIa3Fz</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30</Pages>
  <Words>8052</Words>
  <Characters>44292</Characters>
  <Application>Microsoft Office Word</Application>
  <DocSecurity>0</DocSecurity>
  <Lines>369</Lines>
  <Paragraphs>104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52240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WILSON L. MORENO C.</dc:creator>
  <cp:lastModifiedBy>MORRISON TARQUINO DAZA</cp:lastModifiedBy>
  <cp:revision>2</cp:revision>
  <dcterms:created xsi:type="dcterms:W3CDTF">2025-08-05T14:51:00Z</dcterms:created>
  <dcterms:modified xsi:type="dcterms:W3CDTF">2025-08-05T14:51:00Z</dcterms:modified>
</cp:coreProperties>
</file>